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特克斯县财政局</w:t>
      </w:r>
      <w:r>
        <w:rPr>
          <w:rFonts w:hint="eastAsia" w:ascii="方正小标宋_GBK" w:hAnsi="华文中宋" w:eastAsia="方正小标宋_GBK" w:cs="宋体"/>
          <w:b/>
          <w:kern w:val="0"/>
          <w:sz w:val="48"/>
          <w:szCs w:val="48"/>
        </w:rPr>
        <w:t>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特克斯县财政局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04</w:t>
      </w:r>
      <w:r>
        <w:rPr>
          <w:rFonts w:hint="eastAsia" w:hAnsi="宋体" w:eastAsia="仿宋_GB2312" w:cs="宋体"/>
          <w:kern w:val="0"/>
          <w:sz w:val="36"/>
          <w:szCs w:val="36"/>
        </w:rPr>
        <w:t xml:space="preserve">月 </w:t>
      </w:r>
      <w:r>
        <w:rPr>
          <w:rFonts w:hint="eastAsia" w:hAnsi="宋体" w:eastAsia="仿宋_GB2312" w:cs="宋体"/>
          <w:kern w:val="0"/>
          <w:sz w:val="36"/>
          <w:szCs w:val="36"/>
          <w:lang w:val="en-US" w:eastAsia="zh-CN"/>
        </w:rPr>
        <w:t>27</w:t>
      </w:r>
      <w:r>
        <w:rPr>
          <w:rFonts w:hint="eastAsia" w:hAnsi="宋体" w:eastAsia="仿宋_GB2312" w:cs="宋体"/>
          <w:kern w:val="0"/>
          <w:sz w:val="36"/>
          <w:szCs w:val="36"/>
        </w:rPr>
        <w:t xml:space="preserve"> 日</w:t>
      </w:r>
    </w:p>
    <w:p>
      <w:pPr>
        <w:pStyle w:val="4"/>
        <w:pageBreakBefore w:val="0"/>
        <w:kinsoku/>
        <w:wordWrap/>
        <w:overflowPunct/>
        <w:topLinePunct w:val="0"/>
        <w:autoSpaceDE/>
        <w:autoSpaceDN/>
        <w:bidi w:val="0"/>
        <w:spacing w:line="240" w:lineRule="atLeast"/>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5"/>
        <w:pageBreakBefore w:val="0"/>
        <w:kinsoku/>
        <w:wordWrap/>
        <w:overflowPunct/>
        <w:topLinePunct w:val="0"/>
        <w:autoSpaceDE/>
        <w:autoSpaceDN/>
        <w:bidi w:val="0"/>
        <w:spacing w:line="240" w:lineRule="atLeast"/>
        <w:rPr>
          <w:rStyle w:val="17"/>
          <w:rFonts w:ascii="仿宋" w:hAnsi="仿宋" w:eastAsia="仿宋"/>
          <w:b/>
          <w:bCs/>
        </w:rPr>
      </w:pPr>
      <w:bookmarkStart w:id="2" w:name="_Toc70450290"/>
      <w:r>
        <w:rPr>
          <w:rStyle w:val="17"/>
          <w:rFonts w:hint="eastAsia" w:ascii="仿宋" w:hAnsi="仿宋" w:eastAsia="仿宋"/>
          <w:b/>
          <w:bCs/>
        </w:rPr>
        <w:t>（一）部门单位基本情况</w:t>
      </w:r>
      <w:bookmarkEnd w:id="2"/>
    </w:p>
    <w:p>
      <w:pPr>
        <w:pageBreakBefore w:val="0"/>
        <w:kinsoku/>
        <w:wordWrap/>
        <w:overflowPunct/>
        <w:topLinePunct w:val="0"/>
        <w:autoSpaceDE/>
        <w:autoSpaceDN/>
        <w:bidi w:val="0"/>
        <w:adjustRightInd/>
        <w:spacing w:line="360" w:lineRule="auto"/>
        <w:ind w:firstLine="546" w:firstLineChars="200"/>
        <w:textAlignment w:val="auto"/>
        <w:rPr>
          <w:rStyle w:val="17"/>
          <w:rFonts w:hint="eastAsia" w:ascii="仿宋_GB2312" w:hAnsi="楷体" w:eastAsia="仿宋_GB2312" w:cstheme="minorBidi"/>
          <w:b/>
          <w:bCs w:val="0"/>
          <w:spacing w:val="-4"/>
          <w:kern w:val="2"/>
          <w:sz w:val="28"/>
          <w:szCs w:val="28"/>
          <w:lang w:val="en-US" w:eastAsia="zh-CN" w:bidi="ar-SA"/>
        </w:rPr>
      </w:pPr>
      <w:bookmarkStart w:id="3" w:name="_Toc70450291"/>
      <w:r>
        <w:rPr>
          <w:rStyle w:val="17"/>
          <w:rFonts w:hint="eastAsia" w:ascii="仿宋_GB2312" w:hAnsi="楷体" w:eastAsia="仿宋_GB2312" w:cstheme="minorBidi"/>
          <w:b/>
          <w:bCs w:val="0"/>
          <w:spacing w:val="-4"/>
          <w:kern w:val="2"/>
          <w:sz w:val="28"/>
          <w:szCs w:val="28"/>
          <w:lang w:val="en-US" w:eastAsia="zh-CN" w:bidi="ar-SA"/>
        </w:rPr>
        <w:t>1、主要职能</w:t>
      </w:r>
      <w:bookmarkEnd w:id="3"/>
    </w:p>
    <w:p>
      <w:pPr>
        <w:pageBreakBefore w:val="0"/>
        <w:kinsoku/>
        <w:wordWrap/>
        <w:overflowPunct/>
        <w:topLinePunct w:val="0"/>
        <w:autoSpaceDE/>
        <w:autoSpaceDN/>
        <w:bidi w:val="0"/>
        <w:adjustRightInd/>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bookmarkStart w:id="4" w:name="_Toc70450292"/>
      <w:r>
        <w:rPr>
          <w:rStyle w:val="17"/>
          <w:rFonts w:hint="eastAsia" w:ascii="仿宋_GB2312" w:hAnsi="楷体" w:eastAsia="仿宋_GB2312" w:cstheme="minorBidi"/>
          <w:b w:val="0"/>
          <w:spacing w:val="-4"/>
          <w:kern w:val="2"/>
          <w:sz w:val="28"/>
          <w:szCs w:val="28"/>
          <w:lang w:val="en-US" w:eastAsia="zh-CN" w:bidi="ar-SA"/>
        </w:rPr>
        <w:t>一是贯彻执行国家和自治区财政、税收、行政事业单位国有资产管理的法规、制度和方针、政策，制定本辖区财政、财务、会计管理、行政事业单位资产管理等相关的制度和办法，并监督实施；参与有关税收制度的调研，指导全县财政工作。二是根据国民经济和社会发展战略，拟订特克斯县财政发展战略、中长期财政规划和改革方案并组织实施；分析预测宏观经济形势，参与制定宏观经济决策和管理；提出运用财税政策实施宏观经济调控和综合平衡社会财力的建议，对社会财力进行综合平衡。三是承担财政收支管理责任；负责编制本级预决算草案并组织执行；审查、编制、批复部门预决算；受县人民政府委托向县人民代表大会报告预算及执行情况，向县人大常委会报告预算变动和决算事项；组织实施专项资金绩效考核。四是组织制定需要统一规定的经费开支标准和定额，组织和监督财政预算执行；代表县人民政府管理、监督国库资金的缴拨使用，实施国库集中支付；拟定政府采购管理制度和办法；指导监督检查政府采购工作；管理财政统一发放工资工作；负责政府非税收入和政府性基金管理；监管财政票据；制定彩票管理政策和有关办法、规定管理彩票资金。五是负责制定特克斯县行政事业单位国有资产管理规章制度，按规定管理行政事业单位国有资产，拟定和执行需要县统一规定的开支标准和支出政策。六是执行国家、自治区、自治州政府债务管理制度和办法，按照规定开展政府债券资金使用管理；管理政府债务，防范财政金融风险；管理政府外债，组织实施外国政府、国际金融组织贷款项目和审核、申报、转贷、签订贷款协议以及资金管理工作。七是参与、配合拟订特克斯县建设投资的有关政策，制定基本建设财务管理制度，负责中央、自治区、自治州政府性投资项目财政资金管理工作；参与、配合拟订特克斯县政府和社会资本合作（PPP）有关政策制度，承担有关政策性补贴和专项储备资金财政管理工作；承担相关规范管理工作，巩固拓展脱贫攻坚成果与乡村振兴有效衔接资金。八是承办县人民政府交办的其他工作。</w:t>
      </w:r>
    </w:p>
    <w:p>
      <w:pPr>
        <w:pageBreakBefore w:val="0"/>
        <w:kinsoku/>
        <w:wordWrap/>
        <w:overflowPunct/>
        <w:topLinePunct w:val="0"/>
        <w:autoSpaceDE/>
        <w:autoSpaceDN/>
        <w:bidi w:val="0"/>
        <w:adjustRightInd/>
        <w:spacing w:line="360" w:lineRule="auto"/>
        <w:ind w:firstLine="546" w:firstLineChars="200"/>
        <w:textAlignment w:val="auto"/>
        <w:rPr>
          <w:rStyle w:val="17"/>
          <w:rFonts w:hint="eastAsia" w:ascii="仿宋_GB2312" w:hAnsi="楷体" w:eastAsia="仿宋_GB2312" w:cstheme="minorBidi"/>
          <w:b/>
          <w:bCs w:val="0"/>
          <w:spacing w:val="-4"/>
          <w:kern w:val="2"/>
          <w:sz w:val="28"/>
          <w:szCs w:val="28"/>
          <w:lang w:val="en-US" w:eastAsia="zh-CN" w:bidi="ar-SA"/>
        </w:rPr>
      </w:pPr>
      <w:r>
        <w:rPr>
          <w:rStyle w:val="17"/>
          <w:rFonts w:hint="eastAsia" w:ascii="仿宋_GB2312" w:hAnsi="楷体" w:eastAsia="仿宋_GB2312" w:cstheme="minorBidi"/>
          <w:b/>
          <w:bCs w:val="0"/>
          <w:spacing w:val="-4"/>
          <w:kern w:val="2"/>
          <w:sz w:val="28"/>
          <w:szCs w:val="28"/>
          <w:lang w:val="en-US" w:eastAsia="zh-CN" w:bidi="ar-SA"/>
        </w:rPr>
        <w:t>2、机构人员构成</w:t>
      </w:r>
      <w:bookmarkEnd w:id="4"/>
    </w:p>
    <w:p>
      <w:pPr>
        <w:pageBreakBefore w:val="0"/>
        <w:kinsoku/>
        <w:wordWrap/>
        <w:overflowPunct/>
        <w:topLinePunct w:val="0"/>
        <w:autoSpaceDE/>
        <w:autoSpaceDN/>
        <w:bidi w:val="0"/>
        <w:adjustRightInd/>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（1）组织机构设置：</w:t>
      </w:r>
    </w:p>
    <w:p>
      <w:pPr>
        <w:pageBreakBefore w:val="0"/>
        <w:kinsoku/>
        <w:wordWrap/>
        <w:overflowPunct/>
        <w:topLinePunct w:val="0"/>
        <w:autoSpaceDE/>
        <w:autoSpaceDN/>
        <w:bidi w:val="0"/>
        <w:adjustRightInd/>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特克斯县财政局无下属预算单位，下设9个科室，分别是：办公室、预算科、国库科、综合科、文行科、经建科、社保科、农业农村科、国有资产监督管理办公室。</w:t>
      </w:r>
    </w:p>
    <w:p>
      <w:pPr>
        <w:pageBreakBefore w:val="0"/>
        <w:kinsoku/>
        <w:wordWrap/>
        <w:overflowPunct/>
        <w:topLinePunct w:val="0"/>
        <w:autoSpaceDE/>
        <w:autoSpaceDN/>
        <w:bidi w:val="0"/>
        <w:adjustRightInd/>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（2）2021年特克斯县财政局实有在职人员为57人，其中：</w:t>
      </w:r>
    </w:p>
    <w:p>
      <w:pPr>
        <w:pageBreakBefore w:val="0"/>
        <w:kinsoku/>
        <w:wordWrap/>
        <w:overflowPunct/>
        <w:topLinePunct w:val="0"/>
        <w:autoSpaceDE/>
        <w:autoSpaceDN/>
        <w:bidi w:val="0"/>
        <w:adjustRightInd/>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行政在职9人（上年12人），同比上年减少3人；</w:t>
      </w:r>
    </w:p>
    <w:p>
      <w:pPr>
        <w:pageBreakBefore w:val="0"/>
        <w:kinsoku/>
        <w:wordWrap/>
        <w:overflowPunct/>
        <w:topLinePunct w:val="0"/>
        <w:autoSpaceDE/>
        <w:autoSpaceDN/>
        <w:bidi w:val="0"/>
        <w:adjustRightInd/>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参照公务员管理的事业单位人员29人（上年26人），同比上年增加3人；</w:t>
      </w:r>
    </w:p>
    <w:p>
      <w:pPr>
        <w:pageBreakBefore w:val="0"/>
        <w:kinsoku/>
        <w:wordWrap/>
        <w:overflowPunct/>
        <w:topLinePunct w:val="0"/>
        <w:autoSpaceDE/>
        <w:autoSpaceDN/>
        <w:bidi w:val="0"/>
        <w:adjustRightInd/>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全额拨款事业单位人员19人（上年22人），同比上年增加3人。</w:t>
      </w:r>
    </w:p>
    <w:p>
      <w:pPr>
        <w:pageBreakBefore w:val="0"/>
        <w:kinsoku/>
        <w:wordWrap/>
        <w:overflowPunct/>
        <w:topLinePunct w:val="0"/>
        <w:autoSpaceDE/>
        <w:autoSpaceDN/>
        <w:bidi w:val="0"/>
        <w:adjustRightInd/>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实有退休人员24人（上年24人）,与上年一致。</w:t>
      </w:r>
      <w:bookmarkStart w:id="5" w:name="_Toc70450293"/>
    </w:p>
    <w:p>
      <w:pPr>
        <w:pageBreakBefore w:val="0"/>
        <w:kinsoku/>
        <w:wordWrap/>
        <w:overflowPunct/>
        <w:topLinePunct w:val="0"/>
        <w:autoSpaceDE/>
        <w:autoSpaceDN/>
        <w:bidi w:val="0"/>
        <w:adjustRightInd/>
        <w:spacing w:line="360" w:lineRule="auto"/>
        <w:ind w:firstLine="546" w:firstLineChars="200"/>
        <w:textAlignment w:val="auto"/>
        <w:rPr>
          <w:rStyle w:val="17"/>
          <w:rFonts w:hint="eastAsia" w:ascii="仿宋_GB2312" w:hAnsi="楷体" w:eastAsia="仿宋_GB2312" w:cstheme="minorBidi"/>
          <w:b/>
          <w:bCs w:val="0"/>
          <w:spacing w:val="-4"/>
          <w:kern w:val="2"/>
          <w:sz w:val="28"/>
          <w:szCs w:val="28"/>
          <w:lang w:val="en-US" w:eastAsia="zh-CN" w:bidi="ar-SA"/>
        </w:rPr>
      </w:pPr>
      <w:r>
        <w:rPr>
          <w:rStyle w:val="17"/>
          <w:rFonts w:hint="eastAsia" w:ascii="仿宋_GB2312" w:hAnsi="楷体" w:eastAsia="仿宋_GB2312" w:cstheme="minorBidi"/>
          <w:b/>
          <w:bCs w:val="0"/>
          <w:spacing w:val="-4"/>
          <w:kern w:val="2"/>
          <w:sz w:val="28"/>
          <w:szCs w:val="28"/>
          <w:lang w:val="en-US" w:eastAsia="zh-CN" w:bidi="ar-SA"/>
        </w:rPr>
        <w:t>3、重点工作计划</w:t>
      </w:r>
      <w:bookmarkEnd w:id="5"/>
    </w:p>
    <w:p>
      <w:pPr>
        <w:pageBreakBefore w:val="0"/>
        <w:kinsoku/>
        <w:wordWrap/>
        <w:overflowPunct/>
        <w:topLinePunct w:val="0"/>
        <w:autoSpaceDE/>
        <w:autoSpaceDN/>
        <w:bidi w:val="0"/>
        <w:adjustRightInd/>
        <w:spacing w:line="360" w:lineRule="auto"/>
        <w:ind w:firstLine="544" w:firstLineChars="200"/>
        <w:textAlignment w:val="auto"/>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财政局党组坚持“党建引领促融合、聚财惠民谋发展”理念，履实鼎新，扎实推进党支部规范化建设，实现党建与财政工作同部署双促进，抓好重点工作落实，全面做好财力保障，全面落实保人员支出和单位正常高效运转，计划投入1400万元，</w:t>
      </w:r>
      <w:r>
        <w:rPr>
          <w:rStyle w:val="17"/>
          <w:rFonts w:hint="eastAsia" w:ascii="仿宋_GB2312" w:hAnsi="楷体" w:eastAsia="仿宋_GB2312" w:cstheme="minorBidi"/>
          <w:b w:val="0"/>
          <w:spacing w:val="-4"/>
          <w:kern w:val="2"/>
          <w:sz w:val="28"/>
          <w:szCs w:val="28"/>
          <w:highlight w:val="none"/>
          <w:lang w:val="zh-CN" w:eastAsia="zh-CN" w:bidi="ar-SA"/>
        </w:rPr>
        <w:t>积极推进机关各项业务工作，</w:t>
      </w:r>
      <w:r>
        <w:rPr>
          <w:rStyle w:val="17"/>
          <w:rFonts w:hint="eastAsia" w:ascii="仿宋_GB2312" w:hAnsi="楷体" w:eastAsia="仿宋_GB2312" w:cstheme="minorBidi"/>
          <w:b w:val="0"/>
          <w:spacing w:val="-4"/>
          <w:kern w:val="2"/>
          <w:sz w:val="28"/>
          <w:szCs w:val="28"/>
          <w:highlight w:val="none"/>
          <w:lang w:val="en-US" w:eastAsia="zh-CN" w:bidi="ar-SA"/>
        </w:rPr>
        <w:t>推进国库集中支付改革，</w:t>
      </w:r>
      <w:r>
        <w:rPr>
          <w:rStyle w:val="17"/>
          <w:rFonts w:hint="eastAsia" w:ascii="仿宋_GB2312" w:hAnsi="楷体" w:eastAsia="仿宋_GB2312" w:cstheme="minorBidi"/>
          <w:b w:val="0"/>
          <w:spacing w:val="-4"/>
          <w:kern w:val="2"/>
          <w:sz w:val="28"/>
          <w:szCs w:val="28"/>
          <w:highlight w:val="none"/>
          <w:lang w:val="zh-CN" w:eastAsia="zh-CN" w:bidi="ar-SA"/>
        </w:rPr>
        <w:t>始终保持精益求精、昂扬向上的精神状态，圆满完成人民政府交办各类事项的目标。</w:t>
      </w:r>
    </w:p>
    <w:p>
      <w:pPr>
        <w:pageBreakBefore w:val="0"/>
        <w:kinsoku/>
        <w:wordWrap/>
        <w:overflowPunct/>
        <w:topLinePunct w:val="0"/>
        <w:autoSpaceDE/>
        <w:autoSpaceDN/>
        <w:bidi w:val="0"/>
        <w:adjustRightInd/>
        <w:snapToGrid w:val="0"/>
        <w:spacing w:line="360" w:lineRule="auto"/>
        <w:ind w:firstLine="546" w:firstLineChars="200"/>
        <w:textAlignment w:val="auto"/>
        <w:rPr>
          <w:rStyle w:val="17"/>
          <w:rFonts w:hint="eastAsia" w:ascii="仿宋_GB2312" w:hAnsi="楷体" w:eastAsia="仿宋_GB2312" w:cstheme="minorBidi"/>
          <w:b/>
          <w:bCs w:val="0"/>
          <w:spacing w:val="-4"/>
          <w:kern w:val="2"/>
          <w:sz w:val="28"/>
          <w:szCs w:val="28"/>
          <w:lang w:val="en-US" w:eastAsia="zh-CN" w:bidi="ar-SA"/>
        </w:rPr>
      </w:pPr>
      <w:bookmarkStart w:id="6" w:name="_Toc70450294"/>
      <w:r>
        <w:rPr>
          <w:rStyle w:val="17"/>
          <w:rFonts w:hint="eastAsia" w:ascii="仿宋_GB2312" w:hAnsi="楷体" w:eastAsia="仿宋_GB2312" w:cstheme="minorBidi"/>
          <w:b/>
          <w:bCs w:val="0"/>
          <w:spacing w:val="-4"/>
          <w:kern w:val="2"/>
          <w:sz w:val="28"/>
          <w:szCs w:val="28"/>
          <w:lang w:val="en-US" w:eastAsia="zh-CN" w:bidi="ar-SA"/>
        </w:rPr>
        <w:t>（二）部门单位整体支出规模、</w:t>
      </w:r>
      <w:bookmarkStart w:id="7" w:name="_Hlk70339807"/>
      <w:r>
        <w:rPr>
          <w:rStyle w:val="17"/>
          <w:rFonts w:hint="eastAsia" w:ascii="仿宋_GB2312" w:hAnsi="楷体" w:eastAsia="仿宋_GB2312" w:cstheme="minorBidi"/>
          <w:b/>
          <w:bCs w:val="0"/>
          <w:spacing w:val="-4"/>
          <w:kern w:val="2"/>
          <w:sz w:val="28"/>
          <w:szCs w:val="28"/>
          <w:lang w:val="en-US" w:eastAsia="zh-CN" w:bidi="ar-SA"/>
        </w:rPr>
        <w:t>使用方法和主要内容、涉及对象及范围等</w:t>
      </w:r>
      <w:bookmarkEnd w:id="6"/>
    </w:p>
    <w:bookmarkEnd w:id="7"/>
    <w:p>
      <w:pPr>
        <w:pageBreakBefore w:val="0"/>
        <w:kinsoku/>
        <w:wordWrap/>
        <w:overflowPunct/>
        <w:topLinePunct w:val="0"/>
        <w:autoSpaceDE/>
        <w:autoSpaceDN/>
        <w:bidi w:val="0"/>
        <w:adjustRightInd/>
        <w:snapToGrid w:val="0"/>
        <w:spacing w:line="360" w:lineRule="auto"/>
        <w:ind w:firstLine="546" w:firstLineChars="200"/>
        <w:textAlignment w:val="auto"/>
        <w:rPr>
          <w:rStyle w:val="17"/>
          <w:rFonts w:hint="eastAsia" w:ascii="仿宋_GB2312" w:hAnsi="楷体" w:eastAsia="仿宋_GB2312" w:cstheme="minorBidi"/>
          <w:b/>
          <w:bCs w:val="0"/>
          <w:spacing w:val="-4"/>
          <w:kern w:val="2"/>
          <w:sz w:val="28"/>
          <w:szCs w:val="28"/>
          <w:lang w:val="en-US" w:eastAsia="zh-CN" w:bidi="ar-SA"/>
        </w:rPr>
      </w:pPr>
      <w:bookmarkStart w:id="8" w:name="_Toc70450295"/>
      <w:r>
        <w:rPr>
          <w:rStyle w:val="17"/>
          <w:rFonts w:hint="eastAsia" w:ascii="仿宋_GB2312" w:hAnsi="楷体" w:eastAsia="仿宋_GB2312" w:cstheme="minorBidi"/>
          <w:b/>
          <w:bCs w:val="0"/>
          <w:spacing w:val="-4"/>
          <w:kern w:val="2"/>
          <w:sz w:val="28"/>
          <w:szCs w:val="28"/>
          <w:lang w:val="en-US" w:eastAsia="zh-CN" w:bidi="ar-SA"/>
        </w:rPr>
        <w:t>1、部门单位整体支出规模</w:t>
      </w:r>
      <w:bookmarkEnd w:id="8"/>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2021年批复我单位预算为1351.33万元，其中：财政拨款为1331.33万元，单位其他资金收入20万元。年中追加资金739.89万元，调整率121.01%。对比上年907.34万元增加443.99万元，上升48.93%。</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2021年实际决算支出1351.33万元，执行率100%，其中：</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 xml:space="preserve">（1）基本支出1351.33万元，占总支出的100％，主要用于本单位机构正常运转、完成日常工作任务而发生的各项支出。其中：工资福利支出750.33万元，主要用于在职和离退休人员基本工资、津贴补贴、奖金、住房公积金、社保及医疗保险缴费等人员经费。商品和服务支出442.15万元，主要用于办公费、印刷费、水电费、差旅费、维护费、专用材料费、劳务费、委托业务费、工会经费、公务用车运行维护费等。对个人和家庭的补助42.30万元，主要用于退休费、生活补助及奖励金等。资本性支出116.55万元，主要用于办公设备购置及信息网络软件更新等。  </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（2）项目支出0万元，占总支出的0％。</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（3）本年度重点项目支出0万元，重点支出保障率0%。</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（4）本年度我单位无政府采购预算。</w:t>
      </w:r>
    </w:p>
    <w:p>
      <w:pPr>
        <w:pageBreakBefore w:val="0"/>
        <w:kinsoku/>
        <w:wordWrap/>
        <w:overflowPunct/>
        <w:topLinePunct w:val="0"/>
        <w:autoSpaceDE/>
        <w:autoSpaceDN/>
        <w:bidi w:val="0"/>
        <w:adjustRightInd/>
        <w:snapToGrid w:val="0"/>
        <w:spacing w:line="360" w:lineRule="auto"/>
        <w:ind w:firstLine="546" w:firstLineChars="200"/>
        <w:textAlignment w:val="auto"/>
        <w:rPr>
          <w:rStyle w:val="17"/>
          <w:rFonts w:hint="eastAsia" w:ascii="仿宋_GB2312" w:hAnsi="楷体" w:eastAsia="仿宋_GB2312" w:cstheme="minorBidi"/>
          <w:b/>
          <w:bCs w:val="0"/>
          <w:spacing w:val="-4"/>
          <w:kern w:val="2"/>
          <w:sz w:val="28"/>
          <w:szCs w:val="28"/>
          <w:lang w:val="en-US" w:eastAsia="zh-CN" w:bidi="ar-SA"/>
        </w:rPr>
      </w:pPr>
      <w:bookmarkStart w:id="9" w:name="_Toc70450296"/>
      <w:r>
        <w:rPr>
          <w:rStyle w:val="17"/>
          <w:rFonts w:hint="eastAsia" w:ascii="仿宋_GB2312" w:hAnsi="楷体" w:eastAsia="仿宋_GB2312" w:cstheme="minorBidi"/>
          <w:b/>
          <w:bCs w:val="0"/>
          <w:spacing w:val="-4"/>
          <w:kern w:val="2"/>
          <w:sz w:val="28"/>
          <w:szCs w:val="28"/>
          <w:lang w:val="en-US" w:eastAsia="zh-CN" w:bidi="ar-SA"/>
        </w:rPr>
        <w:t>2、整体支出评价使用方法和主要内容、涉及对象及范围等</w:t>
      </w:r>
      <w:bookmarkEnd w:id="9"/>
    </w:p>
    <w:p>
      <w:pPr>
        <w:spacing w:line="360" w:lineRule="auto"/>
        <w:ind w:firstLine="560" w:firstLineChars="200"/>
        <w:rPr>
          <w:rStyle w:val="17"/>
          <w:rFonts w:hint="eastAsia" w:ascii="仿宋_GB2312" w:eastAsia="仿宋_GB2312"/>
          <w:b w:val="0"/>
          <w:bCs w:val="0"/>
          <w:sz w:val="28"/>
          <w:szCs w:val="36"/>
          <w:lang w:val="en-US" w:eastAsia="zh-CN"/>
        </w:rPr>
      </w:pPr>
      <w:r>
        <w:rPr>
          <w:rStyle w:val="17"/>
          <w:rFonts w:hint="eastAsia" w:ascii="仿宋_GB2312" w:eastAsia="仿宋_GB2312"/>
          <w:b w:val="0"/>
          <w:bCs w:val="0"/>
          <w:sz w:val="28"/>
          <w:szCs w:val="36"/>
          <w:lang w:val="en-US" w:eastAsia="zh-CN"/>
        </w:rPr>
        <w:t>（1）整体支出评价使用方法</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本次单位整体支出绩效自评采用成本效益分析法，原因是：基本支出由财政部门按照进度每月分期拨付，人员支出按照工资计划发放工资；涉及资金支出按照我单位内控体系中设定的流程申报审批进行；项目支出属于政府采购的，组织人员制定采购计划，进行公开招标、邀请招标等方式进行；属于非政府采购的项目，按照“三重一大”制度规定，重大项目支出上党组会研究决定。</w:t>
      </w:r>
    </w:p>
    <w:p>
      <w:pPr>
        <w:spacing w:line="360" w:lineRule="auto"/>
        <w:ind w:firstLine="560" w:firstLineChars="200"/>
        <w:rPr>
          <w:rStyle w:val="17"/>
          <w:rFonts w:hint="eastAsia" w:ascii="仿宋_GB2312" w:eastAsia="仿宋_GB2312"/>
          <w:b w:val="0"/>
          <w:bCs w:val="0"/>
          <w:sz w:val="28"/>
          <w:szCs w:val="36"/>
          <w:lang w:val="en-US" w:eastAsia="zh-CN"/>
        </w:rPr>
      </w:pPr>
      <w:r>
        <w:rPr>
          <w:rStyle w:val="17"/>
          <w:rFonts w:hint="eastAsia" w:ascii="仿宋_GB2312" w:eastAsia="仿宋_GB2312"/>
          <w:b w:val="0"/>
          <w:bCs w:val="0"/>
          <w:sz w:val="28"/>
          <w:szCs w:val="36"/>
          <w:lang w:val="en-US" w:eastAsia="zh-CN"/>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pageBreakBefore w:val="0"/>
        <w:kinsoku/>
        <w:wordWrap/>
        <w:overflowPunct/>
        <w:topLinePunct w:val="0"/>
        <w:autoSpaceDE/>
        <w:autoSpaceDN/>
        <w:bidi w:val="0"/>
        <w:adjustRightInd/>
        <w:snapToGrid w:val="0"/>
        <w:spacing w:line="360" w:lineRule="auto"/>
        <w:ind w:firstLine="546" w:firstLineChars="200"/>
        <w:textAlignment w:val="auto"/>
        <w:rPr>
          <w:rStyle w:val="17"/>
          <w:rFonts w:hint="eastAsia" w:ascii="仿宋_GB2312" w:hAnsi="楷体" w:eastAsia="仿宋_GB2312" w:cstheme="minorBidi"/>
          <w:b/>
          <w:bCs w:val="0"/>
          <w:spacing w:val="-4"/>
          <w:kern w:val="2"/>
          <w:sz w:val="28"/>
          <w:szCs w:val="28"/>
          <w:lang w:val="en-US" w:eastAsia="zh-CN" w:bidi="ar-SA"/>
        </w:rPr>
      </w:pPr>
      <w:r>
        <w:rPr>
          <w:rStyle w:val="17"/>
          <w:rFonts w:hint="eastAsia" w:ascii="仿宋_GB2312" w:hAnsi="楷体" w:eastAsia="仿宋_GB2312" w:cstheme="minorBidi"/>
          <w:b/>
          <w:bCs w:val="0"/>
          <w:spacing w:val="-4"/>
          <w:kern w:val="2"/>
          <w:sz w:val="28"/>
          <w:szCs w:val="28"/>
          <w:lang w:val="en-US" w:eastAsia="zh-CN" w:bidi="ar-SA"/>
        </w:rPr>
        <w:t>（3）整体支出评价涉及对象及范围</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涉及对象：本次评价对象是特克斯县财政局所有财政资金支出活动。</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整体支出评价范围：</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b w:val="0"/>
          <w:spacing w:val="-4"/>
          <w:sz w:val="28"/>
          <w:szCs w:val="28"/>
          <w:highlight w:val="none"/>
          <w:lang w:eastAsia="zh-CN"/>
        </w:rPr>
      </w:pPr>
      <w:r>
        <w:rPr>
          <w:rStyle w:val="17"/>
          <w:rFonts w:hint="eastAsia" w:ascii="仿宋_GB2312" w:hAnsi="楷体" w:eastAsia="仿宋_GB2312" w:cstheme="minorBidi"/>
          <w:b w:val="0"/>
          <w:spacing w:val="-4"/>
          <w:kern w:val="2"/>
          <w:sz w:val="28"/>
          <w:szCs w:val="28"/>
          <w:highlight w:val="none"/>
          <w:lang w:val="en-US" w:eastAsia="zh-CN" w:bidi="ar-SA"/>
        </w:rPr>
        <w:fldChar w:fldCharType="begin"/>
      </w:r>
      <w:r>
        <w:rPr>
          <w:rStyle w:val="17"/>
          <w:rFonts w:hint="eastAsia" w:ascii="仿宋_GB2312" w:hAnsi="楷体" w:eastAsia="仿宋_GB2312" w:cstheme="minorBidi"/>
          <w:b w:val="0"/>
          <w:spacing w:val="-4"/>
          <w:kern w:val="2"/>
          <w:sz w:val="28"/>
          <w:szCs w:val="28"/>
          <w:highlight w:val="none"/>
          <w:lang w:val="en-US" w:eastAsia="zh-CN" w:bidi="ar-SA"/>
        </w:rPr>
        <w:instrText xml:space="preserve"> = 1 \* GB3 </w:instrText>
      </w:r>
      <w:r>
        <w:rPr>
          <w:rStyle w:val="17"/>
          <w:rFonts w:hint="eastAsia" w:ascii="仿宋_GB2312" w:hAnsi="楷体" w:eastAsia="仿宋_GB2312" w:cstheme="minorBidi"/>
          <w:b w:val="0"/>
          <w:spacing w:val="-4"/>
          <w:kern w:val="2"/>
          <w:sz w:val="28"/>
          <w:szCs w:val="28"/>
          <w:highlight w:val="none"/>
          <w:lang w:val="en-US" w:eastAsia="zh-CN" w:bidi="ar-SA"/>
        </w:rPr>
        <w:fldChar w:fldCharType="separate"/>
      </w:r>
      <w:r>
        <w:rPr>
          <w:rStyle w:val="17"/>
          <w:rFonts w:hint="eastAsia" w:ascii="仿宋_GB2312" w:hAnsi="楷体" w:eastAsia="仿宋_GB2312" w:cstheme="minorBidi"/>
          <w:b w:val="0"/>
          <w:spacing w:val="-4"/>
          <w:kern w:val="2"/>
          <w:sz w:val="28"/>
          <w:szCs w:val="28"/>
          <w:highlight w:val="none"/>
          <w:lang w:val="en-US" w:eastAsia="zh-CN" w:bidi="ar-SA"/>
        </w:rPr>
        <w:t>①</w:t>
      </w:r>
      <w:r>
        <w:rPr>
          <w:rStyle w:val="17"/>
          <w:rFonts w:hint="eastAsia" w:ascii="仿宋_GB2312" w:hAnsi="楷体" w:eastAsia="仿宋_GB2312" w:cstheme="minorBidi"/>
          <w:b w:val="0"/>
          <w:spacing w:val="-4"/>
          <w:kern w:val="2"/>
          <w:sz w:val="28"/>
          <w:szCs w:val="28"/>
          <w:highlight w:val="none"/>
          <w:lang w:val="en-US" w:eastAsia="zh-CN" w:bidi="ar-SA"/>
        </w:rPr>
        <w:fldChar w:fldCharType="end"/>
      </w:r>
      <w:r>
        <w:rPr>
          <w:rStyle w:val="17"/>
          <w:rFonts w:hint="eastAsia" w:ascii="仿宋_GB2312" w:hAnsi="楷体" w:eastAsia="仿宋_GB2312" w:cstheme="minorBidi"/>
          <w:b w:val="0"/>
          <w:spacing w:val="-4"/>
          <w:kern w:val="2"/>
          <w:sz w:val="28"/>
          <w:szCs w:val="28"/>
          <w:highlight w:val="none"/>
          <w:lang w:val="en-US" w:eastAsia="zh-CN" w:bidi="ar-SA"/>
        </w:rPr>
        <w:t>基本支出1351.33万元，其中：</w:t>
      </w:r>
      <w:r>
        <w:rPr>
          <w:rStyle w:val="17"/>
          <w:rFonts w:hint="eastAsia" w:ascii="仿宋_GB2312" w:hAnsi="楷体" w:eastAsia="仿宋_GB2312"/>
          <w:b w:val="0"/>
          <w:spacing w:val="-4"/>
          <w:sz w:val="28"/>
          <w:szCs w:val="28"/>
          <w:highlight w:val="none"/>
        </w:rPr>
        <w:t>工资福利支出、商品和服务支出、对个人和家庭的补助支出</w:t>
      </w:r>
      <w:r>
        <w:rPr>
          <w:rStyle w:val="17"/>
          <w:rFonts w:hint="eastAsia" w:ascii="仿宋_GB2312" w:hAnsi="楷体" w:eastAsia="仿宋_GB2312"/>
          <w:b w:val="0"/>
          <w:spacing w:val="-4"/>
          <w:sz w:val="28"/>
          <w:szCs w:val="28"/>
          <w:highlight w:val="none"/>
          <w:lang w:eastAsia="zh-CN"/>
        </w:rPr>
        <w:t>。</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zh-CN" w:eastAsia="zh-CN" w:bidi="ar-SA"/>
        </w:rPr>
      </w:pPr>
      <w:r>
        <w:rPr>
          <w:rStyle w:val="17"/>
          <w:rFonts w:hint="eastAsia" w:ascii="仿宋_GB2312" w:hAnsi="楷体" w:eastAsia="仿宋_GB2312" w:cstheme="minorBidi"/>
          <w:b w:val="0"/>
          <w:spacing w:val="-4"/>
          <w:kern w:val="2"/>
          <w:sz w:val="28"/>
          <w:szCs w:val="28"/>
          <w:lang w:val="zh-CN" w:eastAsia="zh-CN" w:bidi="ar-SA"/>
        </w:rPr>
        <w:fldChar w:fldCharType="begin"/>
      </w:r>
      <w:r>
        <w:rPr>
          <w:rStyle w:val="17"/>
          <w:rFonts w:hint="eastAsia" w:ascii="仿宋_GB2312" w:hAnsi="楷体" w:eastAsia="仿宋_GB2312" w:cstheme="minorBidi"/>
          <w:b w:val="0"/>
          <w:spacing w:val="-4"/>
          <w:kern w:val="2"/>
          <w:sz w:val="28"/>
          <w:szCs w:val="28"/>
          <w:lang w:val="zh-CN" w:eastAsia="zh-CN" w:bidi="ar-SA"/>
        </w:rPr>
        <w:instrText xml:space="preserve"> = 2 \* GB3 </w:instrText>
      </w:r>
      <w:r>
        <w:rPr>
          <w:rStyle w:val="17"/>
          <w:rFonts w:hint="eastAsia" w:ascii="仿宋_GB2312" w:hAnsi="楷体" w:eastAsia="仿宋_GB2312" w:cstheme="minorBidi"/>
          <w:b w:val="0"/>
          <w:spacing w:val="-4"/>
          <w:kern w:val="2"/>
          <w:sz w:val="28"/>
          <w:szCs w:val="28"/>
          <w:lang w:val="zh-CN" w:eastAsia="zh-CN" w:bidi="ar-SA"/>
        </w:rPr>
        <w:fldChar w:fldCharType="separate"/>
      </w:r>
      <w:r>
        <w:rPr>
          <w:rStyle w:val="17"/>
          <w:rFonts w:hint="eastAsia" w:ascii="仿宋_GB2312" w:hAnsi="楷体" w:eastAsia="仿宋_GB2312" w:cstheme="minorBidi"/>
          <w:b w:val="0"/>
          <w:spacing w:val="-4"/>
          <w:kern w:val="2"/>
          <w:sz w:val="28"/>
          <w:szCs w:val="28"/>
          <w:lang w:val="zh-CN" w:eastAsia="zh-CN" w:bidi="ar-SA"/>
        </w:rPr>
        <w:t>②</w:t>
      </w:r>
      <w:r>
        <w:rPr>
          <w:rStyle w:val="17"/>
          <w:rFonts w:hint="eastAsia" w:ascii="仿宋_GB2312" w:hAnsi="楷体" w:eastAsia="仿宋_GB2312" w:cstheme="minorBidi"/>
          <w:b w:val="0"/>
          <w:spacing w:val="-4"/>
          <w:kern w:val="2"/>
          <w:sz w:val="28"/>
          <w:szCs w:val="28"/>
          <w:lang w:val="zh-CN" w:eastAsia="zh-CN" w:bidi="ar-SA"/>
        </w:rPr>
        <w:fldChar w:fldCharType="end"/>
      </w:r>
      <w:r>
        <w:rPr>
          <w:rStyle w:val="17"/>
          <w:rFonts w:hint="eastAsia" w:ascii="仿宋_GB2312" w:hAnsi="楷体" w:eastAsia="仿宋_GB2312" w:cstheme="minorBidi"/>
          <w:b w:val="0"/>
          <w:spacing w:val="-4"/>
          <w:kern w:val="2"/>
          <w:sz w:val="28"/>
          <w:szCs w:val="28"/>
          <w:lang w:val="zh-CN" w:eastAsia="zh-CN" w:bidi="ar-SA"/>
        </w:rPr>
        <w:t>项目支出</w:t>
      </w:r>
      <w:r>
        <w:rPr>
          <w:rStyle w:val="17"/>
          <w:rFonts w:hint="eastAsia" w:ascii="仿宋_GB2312" w:hAnsi="楷体" w:eastAsia="仿宋_GB2312" w:cstheme="minorBidi"/>
          <w:b w:val="0"/>
          <w:spacing w:val="-4"/>
          <w:kern w:val="2"/>
          <w:sz w:val="28"/>
          <w:szCs w:val="28"/>
          <w:lang w:val="en-US" w:eastAsia="zh-CN" w:bidi="ar-SA"/>
        </w:rPr>
        <w:t>0</w:t>
      </w:r>
      <w:r>
        <w:rPr>
          <w:rStyle w:val="17"/>
          <w:rFonts w:hint="eastAsia" w:ascii="仿宋_GB2312" w:hAnsi="楷体" w:eastAsia="仿宋_GB2312" w:cstheme="minorBidi"/>
          <w:b w:val="0"/>
          <w:spacing w:val="-4"/>
          <w:kern w:val="2"/>
          <w:sz w:val="28"/>
          <w:szCs w:val="28"/>
          <w:lang w:val="zh-CN" w:eastAsia="zh-CN" w:bidi="ar-SA"/>
        </w:rPr>
        <w:t>万元。</w:t>
      </w:r>
    </w:p>
    <w:p>
      <w:pPr>
        <w:pStyle w:val="5"/>
        <w:pageBreakBefore w:val="0"/>
        <w:kinsoku/>
        <w:wordWrap/>
        <w:overflowPunct/>
        <w:topLinePunct w:val="0"/>
        <w:autoSpaceDE/>
        <w:autoSpaceDN/>
        <w:bidi w:val="0"/>
        <w:spacing w:line="240" w:lineRule="atLeast"/>
        <w:rPr>
          <w:rStyle w:val="17"/>
          <w:rFonts w:hint="eastAsia"/>
          <w:b/>
          <w:bCs/>
          <w:sz w:val="28"/>
          <w:szCs w:val="28"/>
        </w:rPr>
      </w:pPr>
      <w:bookmarkStart w:id="10" w:name="_Toc70450297"/>
      <w:r>
        <w:rPr>
          <w:rStyle w:val="17"/>
          <w:rFonts w:hint="eastAsia"/>
          <w:b/>
          <w:bCs/>
          <w:sz w:val="28"/>
          <w:szCs w:val="28"/>
        </w:rPr>
        <w:t>二、部门单位整体支出管理及使用情况</w:t>
      </w:r>
      <w:bookmarkEnd w:id="10"/>
    </w:p>
    <w:p>
      <w:pPr>
        <w:pageBreakBefore w:val="0"/>
        <w:kinsoku/>
        <w:wordWrap/>
        <w:overflowPunct/>
        <w:topLinePunct w:val="0"/>
        <w:autoSpaceDE/>
        <w:autoSpaceDN/>
        <w:bidi w:val="0"/>
        <w:spacing w:line="240" w:lineRule="atLeast"/>
        <w:ind w:firstLine="562" w:firstLineChars="200"/>
        <w:rPr>
          <w:rFonts w:hint="eastAsia" w:ascii="仿宋_GB2312" w:eastAsia="仿宋_GB2312"/>
          <w:b/>
          <w:bCs/>
          <w:sz w:val="28"/>
          <w:szCs w:val="36"/>
        </w:rPr>
      </w:pPr>
      <w:bookmarkStart w:id="11" w:name="_Toc70450298"/>
      <w:r>
        <w:rPr>
          <w:rFonts w:hint="eastAsia" w:ascii="仿宋_GB2312" w:eastAsia="仿宋_GB2312"/>
          <w:b/>
          <w:bCs/>
          <w:sz w:val="28"/>
          <w:szCs w:val="36"/>
        </w:rPr>
        <w:t>（一）预算管理</w:t>
      </w:r>
      <w:bookmarkEnd w:id="11"/>
    </w:p>
    <w:p>
      <w:pPr>
        <w:pageBreakBefore w:val="0"/>
        <w:kinsoku/>
        <w:wordWrap/>
        <w:overflowPunct/>
        <w:topLinePunct w:val="0"/>
        <w:autoSpaceDE/>
        <w:autoSpaceDN/>
        <w:bidi w:val="0"/>
        <w:spacing w:line="240" w:lineRule="atLeast"/>
        <w:ind w:firstLine="562" w:firstLineChars="200"/>
        <w:rPr>
          <w:rFonts w:hint="eastAsia" w:ascii="仿宋_GB2312" w:eastAsia="仿宋_GB2312"/>
          <w:b/>
          <w:bCs/>
          <w:sz w:val="28"/>
          <w:szCs w:val="36"/>
        </w:rPr>
      </w:pPr>
      <w:bookmarkStart w:id="12" w:name="_Toc70450299"/>
      <w:r>
        <w:rPr>
          <w:rFonts w:hint="eastAsia" w:ascii="仿宋_GB2312" w:eastAsia="仿宋_GB2312"/>
          <w:b/>
          <w:bCs/>
          <w:sz w:val="28"/>
          <w:szCs w:val="36"/>
        </w:rPr>
        <w:t>1、预算编制管理</w:t>
      </w:r>
      <w:bookmarkEnd w:id="12"/>
    </w:p>
    <w:p>
      <w:pPr>
        <w:pageBreakBefore w:val="0"/>
        <w:kinsoku/>
        <w:wordWrap/>
        <w:overflowPunct/>
        <w:topLinePunct w:val="0"/>
        <w:autoSpaceDE/>
        <w:autoSpaceDN/>
        <w:bidi w:val="0"/>
        <w:spacing w:line="240" w:lineRule="atLeast"/>
        <w:ind w:firstLine="560" w:firstLineChars="200"/>
        <w:rPr>
          <w:rFonts w:hint="eastAsia" w:ascii="仿宋_GB2312" w:eastAsia="仿宋_GB2312"/>
          <w:sz w:val="28"/>
          <w:szCs w:val="36"/>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rPr>
        <w:t>要求，</w:t>
      </w:r>
      <w:r>
        <w:rPr>
          <w:rFonts w:hint="eastAsia" w:ascii="仿宋_GB2312" w:eastAsia="仿宋_GB2312"/>
          <w:sz w:val="28"/>
          <w:szCs w:val="36"/>
          <w:lang w:eastAsia="zh-CN"/>
        </w:rPr>
        <w:t>本单位</w:t>
      </w:r>
      <w:r>
        <w:rPr>
          <w:rFonts w:hint="eastAsia" w:ascii="仿宋_GB2312" w:eastAsia="仿宋_GB2312"/>
          <w:sz w:val="28"/>
          <w:szCs w:val="36"/>
        </w:rPr>
        <w:t>预算及绩效目标在</w:t>
      </w:r>
      <w:r>
        <w:rPr>
          <w:rFonts w:hint="eastAsia" w:ascii="仿宋_GB2312" w:eastAsia="仿宋_GB2312"/>
          <w:sz w:val="28"/>
          <w:szCs w:val="36"/>
          <w:lang w:eastAsia="zh-CN"/>
        </w:rPr>
        <w:t>特克斯县人民政府门户网站进行</w:t>
      </w:r>
      <w:r>
        <w:rPr>
          <w:rFonts w:hint="eastAsia" w:ascii="仿宋_GB2312" w:eastAsia="仿宋_GB2312"/>
          <w:sz w:val="28"/>
          <w:szCs w:val="36"/>
        </w:rPr>
        <w:t>公开，</w:t>
      </w:r>
      <w:r>
        <w:rPr>
          <w:rFonts w:hint="eastAsia" w:ascii="仿宋_GB2312" w:eastAsia="仿宋_GB2312"/>
          <w:sz w:val="28"/>
          <w:szCs w:val="36"/>
          <w:lang w:val="zh-CN"/>
        </w:rPr>
        <w:t>广泛接受社会各界的监督。</w:t>
      </w:r>
    </w:p>
    <w:p>
      <w:pPr>
        <w:pageBreakBefore w:val="0"/>
        <w:kinsoku/>
        <w:wordWrap/>
        <w:overflowPunct/>
        <w:topLinePunct w:val="0"/>
        <w:autoSpaceDE/>
        <w:autoSpaceDN/>
        <w:bidi w:val="0"/>
        <w:spacing w:line="240" w:lineRule="atLeast"/>
        <w:ind w:firstLine="562" w:firstLineChars="200"/>
        <w:rPr>
          <w:rFonts w:hint="eastAsia" w:ascii="仿宋_GB2312" w:eastAsia="仿宋_GB2312"/>
          <w:b/>
          <w:bCs/>
          <w:sz w:val="28"/>
          <w:szCs w:val="36"/>
        </w:rPr>
      </w:pPr>
      <w:bookmarkStart w:id="13" w:name="_Toc70450300"/>
      <w:r>
        <w:rPr>
          <w:rFonts w:hint="eastAsia" w:ascii="仿宋_GB2312" w:eastAsia="仿宋_GB2312"/>
          <w:b/>
          <w:bCs/>
          <w:sz w:val="28"/>
          <w:szCs w:val="36"/>
        </w:rPr>
        <w:t>2、预算支出管理</w:t>
      </w:r>
      <w:bookmarkEnd w:id="13"/>
    </w:p>
    <w:p>
      <w:pPr>
        <w:pageBreakBefore w:val="0"/>
        <w:kinsoku/>
        <w:wordWrap/>
        <w:overflowPunct/>
        <w:topLinePunct w:val="0"/>
        <w:autoSpaceDE/>
        <w:autoSpaceDN/>
        <w:bidi w:val="0"/>
        <w:spacing w:line="240" w:lineRule="atLeast"/>
        <w:ind w:firstLine="560" w:firstLineChars="200"/>
        <w:rPr>
          <w:rStyle w:val="17"/>
          <w:b w:val="0"/>
          <w:bCs w:val="0"/>
        </w:rPr>
      </w:pPr>
      <w:r>
        <w:rPr>
          <w:rFonts w:hint="eastAsia" w:ascii="仿宋_GB2312" w:eastAsia="仿宋_GB2312"/>
          <w:sz w:val="28"/>
          <w:szCs w:val="36"/>
        </w:rPr>
        <w:t>我</w:t>
      </w:r>
      <w:r>
        <w:rPr>
          <w:rStyle w:val="17"/>
          <w:rFonts w:hint="eastAsia" w:ascii="仿宋_GB2312" w:hAnsi="楷体" w:eastAsia="仿宋_GB2312"/>
          <w:b w:val="0"/>
          <w:color w:val="000000" w:themeColor="text1"/>
          <w:spacing w:val="-4"/>
          <w:sz w:val="28"/>
          <w:szCs w:val="28"/>
          <w14:textFill>
            <w14:solidFill>
              <w14:schemeClr w14:val="tx1"/>
            </w14:solidFill>
          </w14:textFill>
        </w:rPr>
        <w:t>单位</w:t>
      </w:r>
      <w:r>
        <w:rPr>
          <w:rFonts w:hint="eastAsia" w:ascii="仿宋_GB2312" w:eastAsia="仿宋_GB2312"/>
          <w:color w:val="000000" w:themeColor="text1"/>
          <w:sz w:val="28"/>
          <w:szCs w:val="36"/>
          <w14:textFill>
            <w14:solidFill>
              <w14:schemeClr w14:val="tx1"/>
            </w14:solidFill>
          </w14:textFill>
        </w:rPr>
        <w:t>按照财政要求</w:t>
      </w:r>
      <w:r>
        <w:rPr>
          <w:rFonts w:hint="eastAsia" w:ascii="仿宋_GB2312" w:eastAsia="仿宋_GB2312"/>
          <w:sz w:val="28"/>
          <w:szCs w:val="36"/>
        </w:rPr>
        <w:t>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特克斯县财政局</w:t>
      </w:r>
      <w:r>
        <w:rPr>
          <w:rFonts w:hint="eastAsia" w:ascii="仿宋_GB2312" w:eastAsia="仿宋_GB2312"/>
          <w:sz w:val="28"/>
          <w:szCs w:val="36"/>
        </w:rPr>
        <w:t>《</w:t>
      </w:r>
      <w:r>
        <w:rPr>
          <w:rFonts w:hint="eastAsia" w:ascii="仿宋_GB2312" w:eastAsia="仿宋_GB2312"/>
          <w:sz w:val="28"/>
          <w:szCs w:val="36"/>
          <w:lang w:eastAsia="zh-CN"/>
        </w:rPr>
        <w:t>资金申请拨付流程</w:t>
      </w:r>
      <w:r>
        <w:rPr>
          <w:rFonts w:hint="eastAsia" w:ascii="仿宋_GB2312" w:eastAsia="仿宋_GB2312"/>
          <w:sz w:val="28"/>
          <w:szCs w:val="36"/>
        </w:rPr>
        <w:t>》相关规定，资金支出按照我</w:t>
      </w:r>
      <w:r>
        <w:rPr>
          <w:rFonts w:hint="eastAsia" w:ascii="仿宋_GB2312" w:eastAsia="仿宋_GB2312"/>
          <w:sz w:val="28"/>
          <w:szCs w:val="36"/>
          <w:lang w:eastAsia="zh-CN"/>
        </w:rPr>
        <w:t>单位</w:t>
      </w:r>
      <w:r>
        <w:rPr>
          <w:rFonts w:hint="eastAsia" w:ascii="仿宋_GB2312" w:eastAsia="仿宋_GB2312"/>
          <w:sz w:val="28"/>
          <w:szCs w:val="36"/>
        </w:rPr>
        <w:t>内控体系中设定的流程申报审批进行；项目支出属于政府采购的，按照《</w:t>
      </w:r>
      <w:r>
        <w:rPr>
          <w:rFonts w:hint="eastAsia" w:ascii="仿宋_GB2312" w:eastAsia="仿宋_GB2312"/>
          <w:sz w:val="28"/>
          <w:szCs w:val="36"/>
          <w:lang w:eastAsia="zh-CN"/>
        </w:rPr>
        <w:t>政府</w:t>
      </w:r>
      <w:r>
        <w:rPr>
          <w:rFonts w:hint="eastAsia" w:ascii="仿宋_GB2312" w:eastAsia="仿宋_GB2312"/>
          <w:sz w:val="28"/>
          <w:szCs w:val="36"/>
        </w:rPr>
        <w:t>采购与招标管理办法》组织</w:t>
      </w:r>
      <w:r>
        <w:rPr>
          <w:rFonts w:hint="eastAsia" w:ascii="仿宋_GB2312" w:eastAsia="仿宋_GB2312"/>
          <w:sz w:val="28"/>
          <w:szCs w:val="36"/>
          <w:lang w:eastAsia="zh-CN"/>
        </w:rPr>
        <w:t>单位具体</w:t>
      </w:r>
      <w:r>
        <w:rPr>
          <w:rFonts w:hint="eastAsia" w:ascii="仿宋_GB2312" w:eastAsia="仿宋_GB2312"/>
          <w:sz w:val="28"/>
          <w:szCs w:val="36"/>
        </w:rPr>
        <w:t>人员制定采购计划，按照财政局采购部门批复，进行公开招标、邀请招标等方式进行；属于非政府采购的项目，按照“三重一大”制度规定，重大项目支出上党组会研究决定。</w:t>
      </w:r>
    </w:p>
    <w:p>
      <w:pPr>
        <w:pStyle w:val="5"/>
        <w:pageBreakBefore w:val="0"/>
        <w:kinsoku/>
        <w:wordWrap/>
        <w:overflowPunct/>
        <w:topLinePunct w:val="0"/>
        <w:autoSpaceDE/>
        <w:autoSpaceDN/>
        <w:bidi w:val="0"/>
        <w:spacing w:line="240" w:lineRule="atLeast"/>
        <w:ind w:firstLine="562" w:firstLineChars="200"/>
        <w:rPr>
          <w:rStyle w:val="17"/>
          <w:b/>
          <w:bCs/>
          <w:sz w:val="28"/>
          <w:szCs w:val="28"/>
        </w:rPr>
      </w:pPr>
      <w:bookmarkStart w:id="14" w:name="_Toc70450301"/>
      <w:r>
        <w:rPr>
          <w:rStyle w:val="17"/>
          <w:rFonts w:hint="eastAsia"/>
          <w:b/>
          <w:bCs/>
          <w:sz w:val="28"/>
          <w:szCs w:val="28"/>
        </w:rPr>
        <w:t>（二）基本支出管理及使用情况</w:t>
      </w:r>
      <w:bookmarkEnd w:id="14"/>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2021年基本支出预算安排1351.33万元，实际到位1351.33万元,实际支出1351.33万元，占总支出的100％，其中：工资福利支出750.33万元、商品和服务支出442.15万元、对个人和家庭的补助42.30万元、主要用于本单位机构正常运转、以及完成日常工作任务而发生的各项支出。资本性支出116.55万元，主要用于办公设备购置及信息网络软件更新等。</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2021年基本支出比上年907.34万元，增加443.99万元，上</w:t>
      </w:r>
      <w:r>
        <w:rPr>
          <w:rStyle w:val="17"/>
          <w:rFonts w:hint="eastAsia" w:ascii="仿宋_GB2312" w:hAnsi="楷体" w:eastAsia="仿宋_GB2312" w:cstheme="minorBidi"/>
          <w:b w:val="0"/>
          <w:spacing w:val="-4"/>
          <w:kern w:val="2"/>
          <w:sz w:val="28"/>
          <w:szCs w:val="28"/>
          <w:lang w:val="en-US" w:eastAsia="zh-CN" w:bidi="ar-SA"/>
        </w:rPr>
        <w:t>升48.93%，支出上升的主要原因是 2021年度中因人员、委托业务费、办公设备购置、信息网络软件更新及其他收入增加。</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2021年一般公共预算“三公”经费数为3.2万元，其中：因公出国（境）费0万元，公务用车购置0万元，公务用车运行费3.2万元，公务接待费0万元。</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年一般公共预算“三公”经费比上年增加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万元，其中：因公出国（境）费增加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万元，主要原因是未安排预算；公务用车购置费为0，未安排预算；公务用车运行费增加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w:t>
      </w:r>
      <w:r>
        <w:rPr>
          <w:rStyle w:val="17"/>
          <w:rFonts w:hint="eastAsia" w:ascii="仿宋_GB2312" w:hAnsi="楷体" w:eastAsia="仿宋_GB2312"/>
          <w:b w:val="0"/>
          <w:spacing w:val="-4"/>
          <w:sz w:val="28"/>
          <w:szCs w:val="28"/>
          <w:lang w:val="en-US" w:eastAsia="zh-CN"/>
        </w:rPr>
        <w:t>与上年一致</w:t>
      </w:r>
      <w:r>
        <w:rPr>
          <w:rStyle w:val="17"/>
          <w:rFonts w:hint="eastAsia" w:ascii="仿宋_GB2312" w:hAnsi="楷体" w:eastAsia="仿宋_GB2312"/>
          <w:b w:val="0"/>
          <w:spacing w:val="-4"/>
          <w:sz w:val="28"/>
          <w:szCs w:val="28"/>
        </w:rPr>
        <w:t>；公务接待费增加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万元，主要原因是未安排预算。</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p>
    <w:p>
      <w:pPr>
        <w:pStyle w:val="5"/>
        <w:spacing w:line="360" w:lineRule="auto"/>
        <w:rPr>
          <w:rStyle w:val="17"/>
          <w:rFonts w:hint="eastAsia" w:ascii="仿宋" w:hAnsi="仿宋" w:eastAsia="仿宋"/>
          <w:b/>
          <w:bCs/>
          <w:lang w:val="en-US" w:eastAsia="zh-CN"/>
        </w:rPr>
      </w:pPr>
      <w:bookmarkStart w:id="15" w:name="_Toc70450302"/>
      <w:r>
        <w:rPr>
          <w:rStyle w:val="17"/>
          <w:rFonts w:hint="eastAsia" w:ascii="仿宋" w:hAnsi="仿宋" w:eastAsia="仿宋"/>
          <w:b/>
          <w:bCs/>
          <w:lang w:val="en-US" w:eastAsia="zh-CN"/>
        </w:rPr>
        <w:t>（三）专项支出管理及使用情况</w:t>
      </w:r>
      <w:bookmarkEnd w:id="15"/>
    </w:p>
    <w:p>
      <w:pPr>
        <w:pStyle w:val="6"/>
        <w:spacing w:line="360" w:lineRule="auto"/>
        <w:ind w:firstLine="562" w:firstLineChars="200"/>
        <w:rPr>
          <w:rStyle w:val="17"/>
          <w:rFonts w:hint="eastAsia" w:ascii="仿宋" w:hAnsi="仿宋" w:eastAsia="仿宋" w:cstheme="minorBidi"/>
          <w:b/>
          <w:bCs/>
          <w:lang w:val="en-US" w:eastAsia="zh-CN"/>
        </w:rPr>
      </w:pPr>
      <w:bookmarkStart w:id="16" w:name="_Toc70450303"/>
      <w:r>
        <w:rPr>
          <w:rStyle w:val="17"/>
          <w:rFonts w:hint="eastAsia" w:ascii="仿宋" w:hAnsi="仿宋" w:eastAsia="仿宋" w:cstheme="minorBidi"/>
          <w:b/>
          <w:bCs/>
          <w:lang w:val="en-US" w:eastAsia="zh-CN"/>
        </w:rPr>
        <w:t>1、专项资金安排落实、总投入等情况分析</w:t>
      </w:r>
      <w:bookmarkEnd w:id="16"/>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2021年预算安排专项资金0万元，实际到位0万元, 到位率0％,其中:中央转移支付项目资金0万元，自治区资金0万元，本级安排 0万元。</w:t>
      </w:r>
    </w:p>
    <w:p>
      <w:pPr>
        <w:pageBreakBefore w:val="0"/>
        <w:kinsoku/>
        <w:wordWrap/>
        <w:overflowPunct/>
        <w:topLinePunct w:val="0"/>
        <w:autoSpaceDE/>
        <w:autoSpaceDN/>
        <w:bidi w:val="0"/>
        <w:adjustRightInd/>
        <w:snapToGrid w:val="0"/>
        <w:spacing w:line="360" w:lineRule="auto"/>
        <w:ind w:firstLine="546" w:firstLineChars="200"/>
        <w:textAlignment w:val="auto"/>
        <w:rPr>
          <w:rStyle w:val="17"/>
          <w:rFonts w:hint="eastAsia" w:ascii="仿宋_GB2312" w:hAnsi="楷体" w:eastAsia="仿宋_GB2312" w:cstheme="minorBidi"/>
          <w:b/>
          <w:bCs w:val="0"/>
          <w:spacing w:val="-4"/>
          <w:kern w:val="2"/>
          <w:sz w:val="28"/>
          <w:szCs w:val="28"/>
          <w:lang w:val="en-US" w:eastAsia="zh-CN" w:bidi="ar-SA"/>
        </w:rPr>
      </w:pPr>
      <w:bookmarkStart w:id="17" w:name="_Toc70450304"/>
      <w:r>
        <w:rPr>
          <w:rStyle w:val="17"/>
          <w:rFonts w:hint="eastAsia" w:ascii="仿宋_GB2312" w:hAnsi="楷体" w:eastAsia="仿宋_GB2312" w:cstheme="minorBidi"/>
          <w:b/>
          <w:bCs w:val="0"/>
          <w:spacing w:val="-4"/>
          <w:kern w:val="2"/>
          <w:sz w:val="28"/>
          <w:szCs w:val="28"/>
          <w:lang w:val="en-US" w:eastAsia="zh-CN" w:bidi="ar-SA"/>
        </w:rPr>
        <w:t>2、专项资金实际使用情况</w:t>
      </w:r>
      <w:bookmarkEnd w:id="17"/>
    </w:p>
    <w:p>
      <w:pPr>
        <w:spacing w:line="360" w:lineRule="auto"/>
        <w:ind w:firstLine="492" w:firstLineChars="181"/>
        <w:rPr>
          <w:rStyle w:val="17"/>
          <w:rFonts w:hint="eastAsia" w:ascii="仿宋_GB2312" w:hAnsi="楷体" w:eastAsia="仿宋_GB2312"/>
          <w:b w:val="0"/>
          <w:spacing w:val="-4"/>
          <w:sz w:val="28"/>
          <w:szCs w:val="28"/>
        </w:rPr>
      </w:pPr>
      <w:bookmarkStart w:id="18" w:name="_Toc70450305"/>
      <w:r>
        <w:rPr>
          <w:rStyle w:val="17"/>
          <w:rFonts w:hint="eastAsia" w:ascii="仿宋_GB2312" w:hAnsi="楷体" w:eastAsia="仿宋_GB2312"/>
          <w:b w:val="0"/>
          <w:spacing w:val="-4"/>
          <w:sz w:val="28"/>
          <w:szCs w:val="28"/>
        </w:rPr>
        <w:t>2021年专项资金支出</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%，其中2021年专项项目支出比上年</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万元，上升</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%。主要原因是</w:t>
      </w:r>
      <w:r>
        <w:rPr>
          <w:rStyle w:val="17"/>
          <w:rFonts w:hint="eastAsia" w:ascii="仿宋_GB2312" w:hAnsi="楷体" w:eastAsia="仿宋_GB2312"/>
          <w:b w:val="0"/>
          <w:spacing w:val="-4"/>
          <w:sz w:val="28"/>
          <w:szCs w:val="28"/>
          <w:lang w:val="en-US" w:eastAsia="zh-CN"/>
        </w:rPr>
        <w:t>未安排专项资金</w:t>
      </w:r>
      <w:r>
        <w:rPr>
          <w:rStyle w:val="17"/>
          <w:rFonts w:hint="eastAsia" w:ascii="仿宋_GB2312" w:hAnsi="楷体" w:eastAsia="仿宋_GB2312"/>
          <w:b w:val="0"/>
          <w:spacing w:val="-4"/>
          <w:sz w:val="28"/>
          <w:szCs w:val="28"/>
        </w:rPr>
        <w:t>。</w:t>
      </w:r>
    </w:p>
    <w:p>
      <w:pPr>
        <w:pStyle w:val="2"/>
      </w:pPr>
    </w:p>
    <w:p>
      <w:pPr>
        <w:pageBreakBefore w:val="0"/>
        <w:kinsoku/>
        <w:wordWrap/>
        <w:overflowPunct/>
        <w:topLinePunct w:val="0"/>
        <w:autoSpaceDE/>
        <w:autoSpaceDN/>
        <w:bidi w:val="0"/>
        <w:adjustRightInd/>
        <w:snapToGrid w:val="0"/>
        <w:spacing w:line="360" w:lineRule="auto"/>
        <w:ind w:firstLine="546" w:firstLineChars="200"/>
        <w:textAlignment w:val="auto"/>
        <w:rPr>
          <w:rStyle w:val="17"/>
          <w:rFonts w:hint="eastAsia" w:ascii="仿宋_GB2312" w:hAnsi="楷体" w:eastAsia="仿宋_GB2312" w:cstheme="minorBidi"/>
          <w:b/>
          <w:bCs w:val="0"/>
          <w:spacing w:val="-4"/>
          <w:kern w:val="2"/>
          <w:sz w:val="28"/>
          <w:szCs w:val="28"/>
          <w:lang w:val="en-US" w:eastAsia="zh-CN" w:bidi="ar-SA"/>
        </w:rPr>
      </w:pPr>
      <w:r>
        <w:rPr>
          <w:rStyle w:val="17"/>
          <w:rFonts w:hint="eastAsia" w:ascii="仿宋_GB2312" w:hAnsi="楷体" w:eastAsia="仿宋_GB2312" w:cstheme="minorBidi"/>
          <w:b/>
          <w:bCs w:val="0"/>
          <w:spacing w:val="-4"/>
          <w:kern w:val="2"/>
          <w:sz w:val="28"/>
          <w:szCs w:val="28"/>
          <w:lang w:val="en-US" w:eastAsia="zh-CN" w:bidi="ar-SA"/>
        </w:rPr>
        <w:t>3、专项资金管理情况</w:t>
      </w:r>
      <w:bookmarkEnd w:id="18"/>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为规范专项资金使用，提高专项资金使用效益，我单位主要采取四项措施。</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一是制订专项资金管理制度；二是各专项资金建立了专帐；三是制订了项目实施方案；四是认真组织项目验收。切实确保专项资金都做到了专款专用。其中：</w:t>
      </w:r>
    </w:p>
    <w:p>
      <w:pPr>
        <w:pageBreakBefore w:val="0"/>
        <w:kinsoku/>
        <w:wordWrap/>
        <w:overflowPunct/>
        <w:topLinePunct w:val="0"/>
        <w:autoSpaceDE/>
        <w:autoSpaceDN/>
        <w:bidi w:val="0"/>
        <w:spacing w:line="240" w:lineRule="atLeas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（1）制定了</w:t>
      </w:r>
      <w:r>
        <w:rPr>
          <w:rStyle w:val="17"/>
          <w:rFonts w:hint="eastAsia" w:ascii="仿宋_GB2312" w:hAnsi="楷体" w:eastAsia="仿宋_GB2312"/>
          <w:b w:val="0"/>
          <w:spacing w:val="-4"/>
          <w:sz w:val="28"/>
          <w:szCs w:val="28"/>
          <w:lang w:val="en-US" w:eastAsia="zh-CN"/>
        </w:rPr>
        <w:t>特克斯县财政局</w:t>
      </w:r>
      <w:r>
        <w:rPr>
          <w:rStyle w:val="17"/>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pageBreakBefore w:val="0"/>
        <w:kinsoku/>
        <w:wordWrap/>
        <w:overflowPunct/>
        <w:topLinePunct w:val="0"/>
        <w:autoSpaceDE/>
        <w:autoSpaceDN/>
        <w:bidi w:val="0"/>
        <w:spacing w:line="240" w:lineRule="atLeas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2</w:t>
      </w:r>
      <w:r>
        <w:rPr>
          <w:rStyle w:val="17"/>
          <w:rFonts w:hint="eastAsia" w:ascii="仿宋_GB2312" w:hAnsi="楷体" w:eastAsia="仿宋_GB2312"/>
          <w:b w:val="0"/>
          <w:spacing w:val="-4"/>
          <w:sz w:val="28"/>
          <w:szCs w:val="28"/>
        </w:rPr>
        <w:t>）建立</w:t>
      </w:r>
      <w:r>
        <w:rPr>
          <w:rStyle w:val="17"/>
          <w:rFonts w:hint="eastAsia" w:ascii="仿宋_GB2312" w:hAnsi="楷体" w:eastAsia="仿宋_GB2312"/>
          <w:b w:val="0"/>
          <w:spacing w:val="-4"/>
          <w:sz w:val="28"/>
          <w:szCs w:val="28"/>
          <w:lang w:val="en-US" w:eastAsia="zh-CN"/>
        </w:rPr>
        <w:t>特克斯县财政局</w:t>
      </w:r>
      <w:r>
        <w:rPr>
          <w:rStyle w:val="17"/>
          <w:rFonts w:hint="eastAsia" w:ascii="仿宋_GB2312" w:hAnsi="楷体" w:eastAsia="仿宋_GB2312"/>
          <w:b w:val="0"/>
          <w:spacing w:val="-4"/>
          <w:sz w:val="28"/>
          <w:szCs w:val="28"/>
        </w:rPr>
        <w:t>专项资金专帐，做到有据可依，有据可查。</w:t>
      </w:r>
    </w:p>
    <w:p>
      <w:pPr>
        <w:pageBreakBefore w:val="0"/>
        <w:kinsoku/>
        <w:wordWrap/>
        <w:overflowPunct/>
        <w:topLinePunct w:val="0"/>
        <w:autoSpaceDE/>
        <w:autoSpaceDN/>
        <w:bidi w:val="0"/>
        <w:spacing w:line="240" w:lineRule="atLeast"/>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（3）制订了</w:t>
      </w:r>
      <w:r>
        <w:rPr>
          <w:rStyle w:val="17"/>
          <w:rFonts w:hint="eastAsia" w:ascii="仿宋_GB2312" w:hAnsi="楷体" w:eastAsia="仿宋_GB2312"/>
          <w:b w:val="0"/>
          <w:spacing w:val="-4"/>
          <w:sz w:val="28"/>
          <w:szCs w:val="28"/>
          <w:highlight w:val="none"/>
          <w:lang w:val="en-US" w:eastAsia="zh-CN"/>
        </w:rPr>
        <w:t>特克斯县财政局</w:t>
      </w:r>
      <w:r>
        <w:rPr>
          <w:rStyle w:val="17"/>
          <w:rFonts w:hint="eastAsia" w:ascii="仿宋_GB2312" w:hAnsi="楷体" w:eastAsia="仿宋_GB2312"/>
          <w:b w:val="0"/>
          <w:spacing w:val="-4"/>
          <w:sz w:val="28"/>
          <w:szCs w:val="28"/>
          <w:highlight w:val="none"/>
        </w:rPr>
        <w:t>项目实施方案，确保项目</w:t>
      </w:r>
      <w:r>
        <w:rPr>
          <w:rStyle w:val="17"/>
          <w:rFonts w:hint="eastAsia" w:ascii="仿宋_GB2312" w:hAnsi="楷体" w:eastAsia="仿宋_GB2312"/>
          <w:b w:val="0"/>
          <w:spacing w:val="-4"/>
          <w:sz w:val="28"/>
          <w:szCs w:val="28"/>
          <w:highlight w:val="none"/>
          <w:lang w:val="en-US" w:eastAsia="zh-CN"/>
        </w:rPr>
        <w:t>顺利进行</w:t>
      </w:r>
      <w:r>
        <w:rPr>
          <w:rStyle w:val="17"/>
          <w:rFonts w:hint="eastAsia" w:ascii="仿宋_GB2312" w:hAnsi="楷体" w:eastAsia="仿宋_GB2312"/>
          <w:b w:val="0"/>
          <w:spacing w:val="-4"/>
          <w:sz w:val="28"/>
          <w:szCs w:val="28"/>
          <w:highlight w:val="none"/>
        </w:rPr>
        <w:t>。</w:t>
      </w:r>
    </w:p>
    <w:p>
      <w:pPr>
        <w:pageBreakBefore w:val="0"/>
        <w:kinsoku/>
        <w:wordWrap/>
        <w:overflowPunct/>
        <w:topLinePunct w:val="0"/>
        <w:autoSpaceDE/>
        <w:autoSpaceDN/>
        <w:bidi w:val="0"/>
        <w:spacing w:line="240" w:lineRule="atLeast"/>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（4）认真组织</w:t>
      </w:r>
      <w:r>
        <w:rPr>
          <w:rStyle w:val="17"/>
          <w:rFonts w:hint="eastAsia" w:ascii="仿宋_GB2312" w:hAnsi="楷体" w:eastAsia="仿宋_GB2312"/>
          <w:b w:val="0"/>
          <w:spacing w:val="-4"/>
          <w:sz w:val="28"/>
          <w:szCs w:val="28"/>
          <w:highlight w:val="none"/>
          <w:lang w:val="en-US" w:eastAsia="zh-CN"/>
        </w:rPr>
        <w:t>特克斯县财政局</w:t>
      </w:r>
      <w:r>
        <w:rPr>
          <w:rStyle w:val="17"/>
          <w:rFonts w:hint="eastAsia" w:ascii="仿宋_GB2312" w:hAnsi="楷体" w:eastAsia="仿宋_GB2312"/>
          <w:b w:val="0"/>
          <w:spacing w:val="-4"/>
          <w:sz w:val="28"/>
          <w:szCs w:val="28"/>
          <w:highlight w:val="none"/>
        </w:rPr>
        <w:t>项目验收，确保</w:t>
      </w:r>
      <w:r>
        <w:rPr>
          <w:rStyle w:val="17"/>
          <w:rFonts w:hint="eastAsia" w:ascii="仿宋_GB2312" w:hAnsi="楷体" w:eastAsia="仿宋_GB2312"/>
          <w:b w:val="0"/>
          <w:spacing w:val="-4"/>
          <w:sz w:val="28"/>
          <w:szCs w:val="28"/>
          <w:highlight w:val="none"/>
          <w:lang w:val="en-US" w:eastAsia="zh-CN"/>
        </w:rPr>
        <w:t>顺利进行</w:t>
      </w:r>
      <w:r>
        <w:rPr>
          <w:rStyle w:val="17"/>
          <w:rFonts w:hint="eastAsia" w:ascii="仿宋_GB2312" w:hAnsi="楷体" w:eastAsia="仿宋_GB2312"/>
          <w:b w:val="0"/>
          <w:spacing w:val="-4"/>
          <w:sz w:val="28"/>
          <w:szCs w:val="28"/>
          <w:highlight w:val="none"/>
        </w:rPr>
        <w:t>。</w:t>
      </w:r>
    </w:p>
    <w:p>
      <w:pPr>
        <w:pageBreakBefore w:val="0"/>
        <w:kinsoku/>
        <w:wordWrap/>
        <w:overflowPunct/>
        <w:topLinePunct w:val="0"/>
        <w:autoSpaceDE/>
        <w:autoSpaceDN/>
        <w:bidi w:val="0"/>
        <w:spacing w:line="240" w:lineRule="atLeast"/>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专项资金涉及政府采购项目的，按照局《</w:t>
      </w:r>
      <w:r>
        <w:rPr>
          <w:rStyle w:val="17"/>
          <w:rFonts w:hint="eastAsia" w:ascii="仿宋_GB2312" w:hAnsi="楷体" w:eastAsia="仿宋_GB2312"/>
          <w:b w:val="0"/>
          <w:spacing w:val="-4"/>
          <w:sz w:val="28"/>
          <w:szCs w:val="28"/>
          <w:lang w:eastAsia="zh-CN"/>
        </w:rPr>
        <w:t>政府</w:t>
      </w:r>
      <w:r>
        <w:rPr>
          <w:rStyle w:val="17"/>
          <w:rFonts w:hint="eastAsia" w:ascii="仿宋_GB2312" w:hAnsi="楷体" w:eastAsia="仿宋_GB2312"/>
          <w:b w:val="0"/>
          <w:spacing w:val="-4"/>
          <w:sz w:val="28"/>
          <w:szCs w:val="28"/>
        </w:rPr>
        <w:t>采购与招标管理办法》组织人员制定采购计划，按照财政局采购部门批复，进行公开招标、邀请招标等方式进行。</w:t>
      </w:r>
    </w:p>
    <w:p>
      <w:pPr>
        <w:pStyle w:val="4"/>
        <w:pageBreakBefore w:val="0"/>
        <w:kinsoku/>
        <w:wordWrap/>
        <w:overflowPunct/>
        <w:topLinePunct w:val="0"/>
        <w:autoSpaceDE/>
        <w:autoSpaceDN/>
        <w:bidi w:val="0"/>
        <w:spacing w:line="240" w:lineRule="atLeast"/>
        <w:ind w:firstLine="361" w:firstLineChars="100"/>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ageBreakBefore w:val="0"/>
        <w:kinsoku/>
        <w:wordWrap/>
        <w:overflowPunct/>
        <w:topLinePunct w:val="0"/>
        <w:autoSpaceDE/>
        <w:autoSpaceDN/>
        <w:bidi w:val="0"/>
        <w:spacing w:line="240" w:lineRule="atLeast"/>
        <w:ind w:firstLine="492" w:firstLineChars="181"/>
        <w:rPr>
          <w:rStyle w:val="17"/>
          <w:rFonts w:hint="eastAsia" w:ascii="仿宋_GB2312" w:hAnsi="楷体" w:eastAsia="仿宋_GB2312"/>
          <w:b w:val="0"/>
          <w:bCs w:val="0"/>
          <w:spacing w:val="-4"/>
          <w:sz w:val="28"/>
          <w:szCs w:val="28"/>
        </w:rPr>
      </w:pPr>
      <w:r>
        <w:rPr>
          <w:rStyle w:val="17"/>
          <w:rFonts w:hint="eastAsia" w:ascii="仿宋_GB2312" w:hAnsi="楷体" w:eastAsia="仿宋_GB2312"/>
          <w:b w:val="0"/>
          <w:spacing w:val="-4"/>
          <w:sz w:val="28"/>
          <w:szCs w:val="28"/>
        </w:rPr>
        <w:t>本单位2021年度未安排项目支出预算</w:t>
      </w:r>
      <w:r>
        <w:rPr>
          <w:rStyle w:val="17"/>
          <w:rFonts w:hint="eastAsia" w:ascii="仿宋_GB2312" w:hAnsi="楷体" w:eastAsia="仿宋_GB2312"/>
          <w:b w:val="0"/>
          <w:spacing w:val="-4"/>
          <w:sz w:val="28"/>
          <w:szCs w:val="28"/>
          <w:lang w:eastAsia="zh-CN"/>
        </w:rPr>
        <w:t>。</w:t>
      </w:r>
    </w:p>
    <w:p>
      <w:pPr>
        <w:pageBreakBefore w:val="0"/>
        <w:kinsoku/>
        <w:wordWrap/>
        <w:overflowPunct/>
        <w:topLinePunct w:val="0"/>
        <w:autoSpaceDE/>
        <w:autoSpaceDN/>
        <w:bidi w:val="0"/>
        <w:spacing w:line="240" w:lineRule="atLeast"/>
        <w:rPr>
          <w:rFonts w:hint="eastAsia"/>
        </w:rPr>
      </w:pPr>
    </w:p>
    <w:p>
      <w:pPr>
        <w:pStyle w:val="4"/>
        <w:pageBreakBefore w:val="0"/>
        <w:kinsoku/>
        <w:wordWrap/>
        <w:overflowPunct/>
        <w:topLinePunct w:val="0"/>
        <w:autoSpaceDE/>
        <w:autoSpaceDN/>
        <w:bidi w:val="0"/>
        <w:spacing w:line="240" w:lineRule="atLeast"/>
        <w:rPr>
          <w:rFonts w:ascii="仿宋" w:hAnsi="仿宋" w:eastAsia="仿宋"/>
          <w:sz w:val="36"/>
          <w:szCs w:val="36"/>
          <w:lang w:bidi="ar"/>
        </w:rPr>
      </w:pPr>
      <w:bookmarkStart w:id="20" w:name="_Toc70450310"/>
      <w:r>
        <w:rPr>
          <w:rFonts w:hint="eastAsia" w:ascii="仿宋" w:hAnsi="仿宋" w:eastAsia="仿宋"/>
          <w:sz w:val="36"/>
          <w:szCs w:val="36"/>
          <w:lang w:bidi="ar"/>
        </w:rPr>
        <w:t>四、资产管理情况</w:t>
      </w:r>
      <w:bookmarkEnd w:id="20"/>
    </w:p>
    <w:p>
      <w:pPr>
        <w:pStyle w:val="5"/>
        <w:pageBreakBefore w:val="0"/>
        <w:kinsoku/>
        <w:wordWrap/>
        <w:overflowPunct/>
        <w:topLinePunct w:val="0"/>
        <w:autoSpaceDE/>
        <w:autoSpaceDN/>
        <w:bidi w:val="0"/>
        <w:spacing w:line="240" w:lineRule="atLeast"/>
        <w:rPr>
          <w:rStyle w:val="17"/>
          <w:rFonts w:ascii="仿宋" w:hAnsi="仿宋" w:eastAsia="仿宋"/>
          <w:b/>
          <w:bCs/>
        </w:rPr>
      </w:pPr>
      <w:bookmarkStart w:id="21" w:name="_Toc70450311"/>
      <w:r>
        <w:rPr>
          <w:rStyle w:val="17"/>
          <w:rFonts w:hint="eastAsia" w:ascii="仿宋" w:hAnsi="仿宋" w:eastAsia="仿宋"/>
          <w:b/>
          <w:bCs/>
        </w:rPr>
        <w:t>（一）资产配置情况</w:t>
      </w:r>
      <w:bookmarkEnd w:id="21"/>
    </w:p>
    <w:p>
      <w:pPr>
        <w:pageBreakBefore w:val="0"/>
        <w:kinsoku/>
        <w:wordWrap/>
        <w:overflowPunct/>
        <w:topLinePunct w:val="0"/>
        <w:autoSpaceDE/>
        <w:autoSpaceDN/>
        <w:bidi w:val="0"/>
        <w:spacing w:line="240" w:lineRule="atLeast"/>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年我</w:t>
      </w:r>
      <w:r>
        <w:rPr>
          <w:rStyle w:val="17"/>
          <w:rFonts w:hint="eastAsia" w:ascii="仿宋_GB2312" w:hAnsi="楷体" w:eastAsia="仿宋_GB2312"/>
          <w:b w:val="0"/>
          <w:color w:val="000000" w:themeColor="text1"/>
          <w:spacing w:val="-4"/>
          <w:sz w:val="28"/>
          <w:szCs w:val="28"/>
          <w14:textFill>
            <w14:solidFill>
              <w14:schemeClr w14:val="tx1"/>
            </w14:solidFill>
          </w14:textFill>
        </w:rPr>
        <w:t>单位</w:t>
      </w:r>
      <w:r>
        <w:rPr>
          <w:rStyle w:val="17"/>
          <w:rFonts w:hint="eastAsia" w:ascii="仿宋_GB2312" w:hAnsi="宋体" w:eastAsia="仿宋_GB2312"/>
          <w:b w:val="0"/>
          <w:bCs w:val="0"/>
          <w:spacing w:val="-4"/>
          <w:sz w:val="28"/>
          <w:szCs w:val="28"/>
        </w:rPr>
        <w:t>资产总额</w:t>
      </w:r>
      <w:r>
        <w:rPr>
          <w:rStyle w:val="17"/>
          <w:rFonts w:hint="eastAsia" w:ascii="仿宋_GB2312" w:hAnsi="宋体" w:eastAsia="仿宋_GB2312"/>
          <w:b w:val="0"/>
          <w:bCs w:val="0"/>
          <w:spacing w:val="-4"/>
          <w:sz w:val="28"/>
          <w:szCs w:val="28"/>
          <w:lang w:val="en-US" w:eastAsia="zh-CN"/>
        </w:rPr>
        <w:t>352.85</w:t>
      </w:r>
      <w:r>
        <w:rPr>
          <w:rStyle w:val="17"/>
          <w:rFonts w:hint="eastAsia" w:ascii="仿宋_GB2312" w:hAnsi="宋体" w:eastAsia="仿宋_GB2312"/>
          <w:b w:val="0"/>
          <w:bCs w:val="0"/>
          <w:spacing w:val="-4"/>
          <w:sz w:val="28"/>
          <w:szCs w:val="28"/>
        </w:rPr>
        <w:t>万元，其中流动资产</w:t>
      </w:r>
      <w:r>
        <w:rPr>
          <w:rStyle w:val="17"/>
          <w:rFonts w:hint="eastAsia" w:ascii="仿宋_GB2312" w:hAnsi="宋体" w:eastAsia="仿宋_GB2312"/>
          <w:b w:val="0"/>
          <w:bCs w:val="0"/>
          <w:spacing w:val="-4"/>
          <w:sz w:val="28"/>
          <w:szCs w:val="28"/>
          <w:lang w:val="en-US" w:eastAsia="zh-CN"/>
        </w:rPr>
        <w:t>20.33</w:t>
      </w:r>
      <w:r>
        <w:rPr>
          <w:rStyle w:val="17"/>
          <w:rFonts w:hint="eastAsia" w:ascii="仿宋_GB2312" w:hAnsi="宋体" w:eastAsia="仿宋_GB2312"/>
          <w:b w:val="0"/>
          <w:bCs w:val="0"/>
          <w:spacing w:val="-4"/>
          <w:sz w:val="28"/>
          <w:szCs w:val="28"/>
        </w:rPr>
        <w:t>万元（其中 其他应收款</w:t>
      </w:r>
      <w:r>
        <w:rPr>
          <w:rStyle w:val="17"/>
          <w:rFonts w:hint="eastAsia" w:ascii="仿宋_GB2312" w:hAnsi="宋体" w:eastAsia="仿宋_GB2312"/>
          <w:b w:val="0"/>
          <w:bCs w:val="0"/>
          <w:spacing w:val="-4"/>
          <w:sz w:val="28"/>
          <w:szCs w:val="28"/>
          <w:lang w:val="en-US" w:eastAsia="zh-CN"/>
        </w:rPr>
        <w:t>20.33万元</w:t>
      </w:r>
      <w:r>
        <w:rPr>
          <w:rStyle w:val="17"/>
          <w:rFonts w:hint="eastAsia" w:ascii="仿宋_GB2312" w:hAnsi="宋体" w:eastAsia="仿宋_GB2312"/>
          <w:b w:val="0"/>
          <w:bCs w:val="0"/>
          <w:spacing w:val="-4"/>
          <w:sz w:val="28"/>
          <w:szCs w:val="28"/>
        </w:rPr>
        <w:t>），固定资产净值</w:t>
      </w:r>
      <w:r>
        <w:rPr>
          <w:rStyle w:val="17"/>
          <w:rFonts w:hint="eastAsia" w:ascii="仿宋_GB2312" w:hAnsi="宋体" w:eastAsia="仿宋_GB2312"/>
          <w:b w:val="0"/>
          <w:bCs w:val="0"/>
          <w:spacing w:val="-4"/>
          <w:sz w:val="28"/>
          <w:szCs w:val="28"/>
          <w:lang w:val="en-US" w:eastAsia="zh-CN"/>
        </w:rPr>
        <w:t>315.52</w:t>
      </w:r>
      <w:r>
        <w:rPr>
          <w:rStyle w:val="17"/>
          <w:rFonts w:hint="eastAsia" w:ascii="仿宋_GB2312" w:hAnsi="宋体" w:eastAsia="仿宋_GB2312"/>
          <w:b w:val="0"/>
          <w:bCs w:val="0"/>
          <w:spacing w:val="-4"/>
          <w:sz w:val="28"/>
          <w:szCs w:val="28"/>
        </w:rPr>
        <w:t>万元（其中：土地、房屋及构筑物</w:t>
      </w:r>
      <w:r>
        <w:rPr>
          <w:rStyle w:val="17"/>
          <w:rFonts w:hint="eastAsia" w:ascii="仿宋_GB2312" w:hAnsi="宋体" w:eastAsia="仿宋_GB2312"/>
          <w:b w:val="0"/>
          <w:bCs w:val="0"/>
          <w:spacing w:val="-4"/>
          <w:sz w:val="28"/>
          <w:szCs w:val="28"/>
          <w:lang w:val="en-US" w:eastAsia="zh-CN"/>
        </w:rPr>
        <w:t>160.82</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50.97</w:t>
      </w:r>
      <w:r>
        <w:rPr>
          <w:rStyle w:val="17"/>
          <w:rFonts w:hint="eastAsia" w:ascii="仿宋_GB2312" w:hAnsi="宋体" w:eastAsia="仿宋_GB2312"/>
          <w:b w:val="0"/>
          <w:bCs w:val="0"/>
          <w:spacing w:val="-4"/>
          <w:sz w:val="28"/>
          <w:szCs w:val="28"/>
        </w:rPr>
        <w:t>%；通用设备</w:t>
      </w:r>
      <w:r>
        <w:rPr>
          <w:rStyle w:val="17"/>
          <w:rFonts w:hint="eastAsia" w:ascii="仿宋_GB2312" w:hAnsi="宋体" w:eastAsia="仿宋_GB2312"/>
          <w:b w:val="0"/>
          <w:bCs w:val="0"/>
          <w:spacing w:val="-4"/>
          <w:sz w:val="28"/>
          <w:szCs w:val="28"/>
          <w:lang w:val="en-US" w:eastAsia="zh-CN"/>
        </w:rPr>
        <w:t>101.98</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32.32</w:t>
      </w:r>
      <w:r>
        <w:rPr>
          <w:rStyle w:val="17"/>
          <w:rFonts w:hint="eastAsia" w:ascii="仿宋_GB2312" w:hAnsi="宋体" w:eastAsia="仿宋_GB2312"/>
          <w:b w:val="0"/>
          <w:bCs w:val="0"/>
          <w:spacing w:val="-4"/>
          <w:sz w:val="28"/>
          <w:szCs w:val="28"/>
        </w:rPr>
        <w:t>%；专用设备</w:t>
      </w:r>
      <w:r>
        <w:rPr>
          <w:rStyle w:val="17"/>
          <w:rFonts w:hint="eastAsia" w:ascii="仿宋_GB2312" w:hAnsi="宋体" w:eastAsia="仿宋_GB2312"/>
          <w:b w:val="0"/>
          <w:bCs w:val="0"/>
          <w:spacing w:val="-4"/>
          <w:sz w:val="28"/>
          <w:szCs w:val="28"/>
          <w:lang w:val="en-US" w:eastAsia="zh-CN"/>
        </w:rPr>
        <w:t>0.5</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0.16</w:t>
      </w:r>
      <w:r>
        <w:rPr>
          <w:rStyle w:val="17"/>
          <w:rFonts w:hint="eastAsia" w:ascii="仿宋_GB2312" w:hAnsi="宋体" w:eastAsia="仿宋_GB2312"/>
          <w:b w:val="0"/>
          <w:bCs w:val="0"/>
          <w:spacing w:val="-4"/>
          <w:sz w:val="28"/>
          <w:szCs w:val="28"/>
        </w:rPr>
        <w:t>%；</w:t>
      </w:r>
      <w:r>
        <w:rPr>
          <w:rStyle w:val="17"/>
          <w:rFonts w:hint="eastAsia" w:ascii="仿宋_GB2312" w:hAnsi="宋体" w:eastAsia="仿宋_GB2312"/>
          <w:b w:val="0"/>
          <w:bCs w:val="0"/>
          <w:spacing w:val="-4"/>
          <w:sz w:val="28"/>
          <w:szCs w:val="28"/>
          <w:lang w:eastAsia="zh-CN"/>
        </w:rPr>
        <w:t>其他</w:t>
      </w:r>
      <w:r>
        <w:rPr>
          <w:rStyle w:val="17"/>
          <w:rFonts w:hint="eastAsia" w:ascii="仿宋_GB2312" w:hAnsi="宋体" w:eastAsia="仿宋_GB2312"/>
          <w:b w:val="0"/>
          <w:bCs w:val="0"/>
          <w:spacing w:val="-4"/>
          <w:sz w:val="28"/>
          <w:szCs w:val="28"/>
          <w:lang w:val="en-US" w:eastAsia="zh-CN"/>
        </w:rPr>
        <w:t>52.22万元，</w:t>
      </w:r>
      <w:r>
        <w:rPr>
          <w:rStyle w:val="17"/>
          <w:rFonts w:hint="eastAsia" w:ascii="仿宋_GB2312" w:hAnsi="宋体" w:eastAsia="仿宋_GB2312"/>
          <w:b w:val="0"/>
          <w:bCs w:val="0"/>
          <w:spacing w:val="-4"/>
          <w:sz w:val="28"/>
          <w:szCs w:val="28"/>
        </w:rPr>
        <w:t>占固定资产净值的</w:t>
      </w:r>
      <w:r>
        <w:rPr>
          <w:rStyle w:val="17"/>
          <w:rFonts w:hint="eastAsia" w:ascii="仿宋_GB2312" w:hAnsi="宋体" w:eastAsia="仿宋_GB2312"/>
          <w:b w:val="0"/>
          <w:bCs w:val="0"/>
          <w:spacing w:val="-4"/>
          <w:sz w:val="28"/>
          <w:szCs w:val="28"/>
          <w:lang w:val="en-US" w:eastAsia="zh-CN"/>
        </w:rPr>
        <w:t>16.55</w:t>
      </w:r>
      <w:r>
        <w:rPr>
          <w:rStyle w:val="17"/>
          <w:rFonts w:hint="eastAsia" w:ascii="仿宋_GB2312" w:hAnsi="宋体" w:eastAsia="仿宋_GB2312"/>
          <w:b w:val="0"/>
          <w:bCs w:val="0"/>
          <w:spacing w:val="-4"/>
          <w:sz w:val="28"/>
          <w:szCs w:val="28"/>
        </w:rPr>
        <w:t>%；）</w:t>
      </w:r>
      <w:r>
        <w:rPr>
          <w:rStyle w:val="17"/>
          <w:rFonts w:hint="eastAsia" w:ascii="仿宋_GB2312" w:hAnsi="宋体" w:eastAsia="仿宋_GB2312"/>
          <w:b w:val="0"/>
          <w:bCs w:val="0"/>
          <w:spacing w:val="-4"/>
          <w:sz w:val="28"/>
          <w:szCs w:val="28"/>
          <w:lang w:eastAsia="zh-CN"/>
        </w:rPr>
        <w:t>，</w:t>
      </w:r>
      <w:r>
        <w:rPr>
          <w:rStyle w:val="17"/>
          <w:rFonts w:hint="eastAsia" w:ascii="仿宋_GB2312" w:hAnsi="宋体" w:eastAsia="仿宋_GB2312"/>
          <w:b w:val="0"/>
          <w:bCs w:val="0"/>
          <w:spacing w:val="-4"/>
          <w:sz w:val="28"/>
          <w:szCs w:val="28"/>
        </w:rPr>
        <w:t>无形资产</w:t>
      </w:r>
      <w:r>
        <w:rPr>
          <w:rStyle w:val="17"/>
          <w:rFonts w:hint="eastAsia" w:ascii="仿宋_GB2312" w:hAnsi="宋体" w:eastAsia="仿宋_GB2312"/>
          <w:b w:val="0"/>
          <w:bCs w:val="0"/>
          <w:spacing w:val="-4"/>
          <w:sz w:val="28"/>
          <w:szCs w:val="28"/>
          <w:lang w:val="en-US" w:eastAsia="zh-CN"/>
        </w:rPr>
        <w:t>17万元</w:t>
      </w:r>
      <w:r>
        <w:rPr>
          <w:rStyle w:val="17"/>
          <w:rFonts w:hint="eastAsia" w:ascii="仿宋_GB2312" w:hAnsi="宋体" w:eastAsia="仿宋_GB2312"/>
          <w:b w:val="0"/>
          <w:bCs w:val="0"/>
          <w:spacing w:val="-4"/>
          <w:sz w:val="28"/>
          <w:szCs w:val="28"/>
        </w:rPr>
        <w:t>。</w:t>
      </w:r>
    </w:p>
    <w:p>
      <w:pPr>
        <w:pageBreakBefore w:val="0"/>
        <w:kinsoku/>
        <w:wordWrap/>
        <w:overflowPunct/>
        <w:topLinePunct w:val="0"/>
        <w:autoSpaceDE/>
        <w:autoSpaceDN/>
        <w:bidi w:val="0"/>
        <w:spacing w:line="240" w:lineRule="atLeast"/>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本年度流动资产</w:t>
      </w:r>
      <w:r>
        <w:rPr>
          <w:rStyle w:val="17"/>
          <w:rFonts w:hint="eastAsia" w:ascii="仿宋_GB2312" w:hAnsi="宋体" w:eastAsia="仿宋_GB2312"/>
          <w:b w:val="0"/>
          <w:bCs w:val="0"/>
          <w:spacing w:val="-4"/>
          <w:sz w:val="28"/>
          <w:szCs w:val="28"/>
          <w:lang w:val="en-US" w:eastAsia="zh-CN"/>
        </w:rPr>
        <w:t>20.33</w:t>
      </w:r>
      <w:r>
        <w:rPr>
          <w:rStyle w:val="17"/>
          <w:rFonts w:hint="eastAsia" w:ascii="仿宋_GB2312" w:hAnsi="宋体" w:eastAsia="仿宋_GB2312"/>
          <w:b w:val="0"/>
          <w:bCs w:val="0"/>
          <w:spacing w:val="-4"/>
          <w:sz w:val="28"/>
          <w:szCs w:val="28"/>
        </w:rPr>
        <w:t>万元，</w:t>
      </w:r>
      <w:r>
        <w:rPr>
          <w:rStyle w:val="17"/>
          <w:rFonts w:hint="eastAsia" w:ascii="仿宋_GB2312" w:hAnsi="宋体" w:eastAsia="仿宋_GB2312"/>
          <w:b w:val="0"/>
          <w:bCs w:val="0"/>
          <w:spacing w:val="-4"/>
          <w:sz w:val="28"/>
          <w:szCs w:val="28"/>
          <w:lang w:eastAsia="zh-CN"/>
        </w:rPr>
        <w:t>上年</w:t>
      </w:r>
      <w:r>
        <w:rPr>
          <w:rStyle w:val="17"/>
          <w:rFonts w:hint="eastAsia" w:ascii="仿宋_GB2312" w:hAnsi="宋体" w:eastAsia="仿宋_GB2312"/>
          <w:b w:val="0"/>
          <w:bCs w:val="0"/>
          <w:spacing w:val="-4"/>
          <w:sz w:val="28"/>
          <w:szCs w:val="28"/>
          <w:lang w:val="en-US" w:eastAsia="zh-CN"/>
        </w:rPr>
        <w:t>34.9万元，</w:t>
      </w:r>
      <w:r>
        <w:rPr>
          <w:rStyle w:val="17"/>
          <w:rFonts w:hint="eastAsia" w:ascii="仿宋_GB2312" w:hAnsi="宋体" w:eastAsia="仿宋_GB2312"/>
          <w:b w:val="0"/>
          <w:bCs w:val="0"/>
          <w:spacing w:val="-4"/>
          <w:sz w:val="28"/>
          <w:szCs w:val="28"/>
        </w:rPr>
        <w:t>比上年减少</w:t>
      </w:r>
      <w:r>
        <w:rPr>
          <w:rStyle w:val="17"/>
          <w:rFonts w:hint="eastAsia" w:ascii="仿宋_GB2312" w:hAnsi="宋体" w:eastAsia="仿宋_GB2312"/>
          <w:b w:val="0"/>
          <w:bCs w:val="0"/>
          <w:spacing w:val="-4"/>
          <w:sz w:val="28"/>
          <w:szCs w:val="28"/>
          <w:lang w:val="en-US" w:eastAsia="zh-CN"/>
        </w:rPr>
        <w:t>14.57</w:t>
      </w:r>
      <w:r>
        <w:rPr>
          <w:rStyle w:val="17"/>
          <w:rFonts w:hint="eastAsia" w:ascii="仿宋_GB2312" w:hAnsi="宋体" w:eastAsia="仿宋_GB2312"/>
          <w:b w:val="0"/>
          <w:bCs w:val="0"/>
          <w:spacing w:val="-4"/>
          <w:sz w:val="28"/>
          <w:szCs w:val="28"/>
        </w:rPr>
        <w:t>万元，原因是：</w:t>
      </w:r>
      <w:r>
        <w:rPr>
          <w:rStyle w:val="17"/>
          <w:rFonts w:hint="eastAsia" w:ascii="仿宋_GB2312" w:hAnsi="宋体" w:eastAsia="仿宋_GB2312"/>
          <w:b w:val="0"/>
          <w:bCs w:val="0"/>
          <w:spacing w:val="-4"/>
          <w:sz w:val="28"/>
          <w:szCs w:val="28"/>
          <w:lang w:eastAsia="zh-CN"/>
        </w:rPr>
        <w:t>及时清理</w:t>
      </w:r>
      <w:r>
        <w:rPr>
          <w:rStyle w:val="17"/>
          <w:rFonts w:hint="eastAsia" w:ascii="仿宋_GB2312" w:hAnsi="宋体" w:eastAsia="仿宋_GB2312"/>
          <w:b w:val="0"/>
          <w:bCs w:val="0"/>
          <w:spacing w:val="-4"/>
          <w:sz w:val="28"/>
          <w:szCs w:val="28"/>
        </w:rPr>
        <w:t>其他应收款</w:t>
      </w:r>
      <w:r>
        <w:rPr>
          <w:rStyle w:val="17"/>
          <w:rFonts w:hint="eastAsia" w:ascii="仿宋_GB2312" w:hAnsi="宋体" w:eastAsia="仿宋_GB2312"/>
          <w:b w:val="0"/>
          <w:bCs w:val="0"/>
          <w:spacing w:val="-4"/>
          <w:sz w:val="28"/>
          <w:szCs w:val="28"/>
          <w:lang w:eastAsia="zh-CN"/>
        </w:rPr>
        <w:t>项</w:t>
      </w:r>
      <w:r>
        <w:rPr>
          <w:rStyle w:val="17"/>
          <w:rFonts w:hint="eastAsia" w:ascii="仿宋_GB2312" w:hAnsi="宋体" w:eastAsia="仿宋_GB2312"/>
          <w:b w:val="0"/>
          <w:bCs w:val="0"/>
          <w:spacing w:val="-4"/>
          <w:sz w:val="28"/>
          <w:szCs w:val="28"/>
        </w:rPr>
        <w:t>。</w:t>
      </w:r>
    </w:p>
    <w:p>
      <w:pPr>
        <w:pageBreakBefore w:val="0"/>
        <w:kinsoku/>
        <w:wordWrap/>
        <w:overflowPunct/>
        <w:topLinePunct w:val="0"/>
        <w:autoSpaceDE/>
        <w:autoSpaceDN/>
        <w:bidi w:val="0"/>
        <w:spacing w:line="240" w:lineRule="atLeast"/>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本年度固定资产</w:t>
      </w:r>
      <w:r>
        <w:rPr>
          <w:rStyle w:val="17"/>
          <w:rFonts w:hint="eastAsia" w:ascii="仿宋_GB2312" w:hAnsi="宋体" w:eastAsia="仿宋_GB2312"/>
          <w:b w:val="0"/>
          <w:bCs w:val="0"/>
          <w:spacing w:val="-4"/>
          <w:sz w:val="28"/>
          <w:szCs w:val="28"/>
          <w:lang w:val="en-US" w:eastAsia="zh-CN"/>
        </w:rPr>
        <w:t>315.52</w:t>
      </w:r>
      <w:r>
        <w:rPr>
          <w:rStyle w:val="17"/>
          <w:rFonts w:hint="eastAsia" w:ascii="仿宋_GB2312" w:hAnsi="宋体" w:eastAsia="仿宋_GB2312"/>
          <w:b w:val="0"/>
          <w:bCs w:val="0"/>
          <w:spacing w:val="-4"/>
          <w:sz w:val="28"/>
          <w:szCs w:val="28"/>
        </w:rPr>
        <w:t>万元，</w:t>
      </w:r>
      <w:r>
        <w:rPr>
          <w:rStyle w:val="17"/>
          <w:rFonts w:hint="eastAsia" w:ascii="仿宋_GB2312" w:hAnsi="宋体" w:eastAsia="仿宋_GB2312"/>
          <w:b w:val="0"/>
          <w:bCs w:val="0"/>
          <w:spacing w:val="-4"/>
          <w:sz w:val="28"/>
          <w:szCs w:val="28"/>
          <w:lang w:eastAsia="zh-CN"/>
        </w:rPr>
        <w:t>上年</w:t>
      </w:r>
      <w:r>
        <w:rPr>
          <w:rStyle w:val="17"/>
          <w:rFonts w:hint="eastAsia" w:ascii="仿宋_GB2312" w:hAnsi="宋体" w:eastAsia="仿宋_GB2312"/>
          <w:b w:val="0"/>
          <w:bCs w:val="0"/>
          <w:spacing w:val="-4"/>
          <w:sz w:val="28"/>
          <w:szCs w:val="28"/>
          <w:lang w:val="en-US" w:eastAsia="zh-CN"/>
        </w:rPr>
        <w:t>231.74万元，</w:t>
      </w:r>
      <w:r>
        <w:rPr>
          <w:rStyle w:val="17"/>
          <w:rFonts w:hint="eastAsia" w:ascii="仿宋_GB2312" w:hAnsi="宋体" w:eastAsia="仿宋_GB2312"/>
          <w:b w:val="0"/>
          <w:bCs w:val="0"/>
          <w:spacing w:val="-4"/>
          <w:sz w:val="28"/>
          <w:szCs w:val="28"/>
        </w:rPr>
        <w:t>比上年增加</w:t>
      </w:r>
      <w:r>
        <w:rPr>
          <w:rStyle w:val="17"/>
          <w:rFonts w:hint="eastAsia" w:ascii="仿宋_GB2312" w:hAnsi="宋体" w:eastAsia="仿宋_GB2312"/>
          <w:b w:val="0"/>
          <w:bCs w:val="0"/>
          <w:spacing w:val="-4"/>
          <w:sz w:val="28"/>
          <w:szCs w:val="28"/>
          <w:lang w:val="en-US" w:eastAsia="zh-CN"/>
        </w:rPr>
        <w:t>83.78</w:t>
      </w:r>
      <w:r>
        <w:rPr>
          <w:rStyle w:val="17"/>
          <w:rFonts w:hint="eastAsia" w:ascii="仿宋_GB2312" w:hAnsi="宋体" w:eastAsia="仿宋_GB2312"/>
          <w:b w:val="0"/>
          <w:bCs w:val="0"/>
          <w:spacing w:val="-4"/>
          <w:sz w:val="28"/>
          <w:szCs w:val="28"/>
        </w:rPr>
        <w:t>万元，原因是：</w:t>
      </w:r>
      <w:r>
        <w:rPr>
          <w:rStyle w:val="17"/>
          <w:rFonts w:hint="eastAsia" w:ascii="仿宋_GB2312" w:hAnsi="宋体" w:eastAsia="仿宋_GB2312"/>
          <w:b w:val="0"/>
          <w:bCs w:val="0"/>
          <w:spacing w:val="-4"/>
          <w:sz w:val="28"/>
          <w:szCs w:val="28"/>
          <w:lang w:val="en-US" w:eastAsia="zh-CN"/>
        </w:rPr>
        <w:t>2021年度新增</w:t>
      </w:r>
      <w:r>
        <w:rPr>
          <w:rStyle w:val="17"/>
          <w:rFonts w:hint="eastAsia" w:ascii="仿宋_GB2312" w:hAnsi="宋体" w:eastAsia="仿宋_GB2312"/>
          <w:b w:val="0"/>
          <w:bCs w:val="0"/>
          <w:spacing w:val="-4"/>
          <w:sz w:val="28"/>
          <w:szCs w:val="28"/>
        </w:rPr>
        <w:t>固定资产。</w:t>
      </w:r>
    </w:p>
    <w:p>
      <w:pPr>
        <w:pageBreakBefore w:val="0"/>
        <w:kinsoku/>
        <w:wordWrap/>
        <w:overflowPunct/>
        <w:topLinePunct w:val="0"/>
        <w:autoSpaceDE/>
        <w:autoSpaceDN/>
        <w:bidi w:val="0"/>
        <w:snapToGrid w:val="0"/>
        <w:spacing w:line="240" w:lineRule="atLeast"/>
        <w:ind w:firstLine="544" w:firstLineChars="200"/>
        <w:rPr>
          <w:rStyle w:val="17"/>
          <w:rFonts w:hint="eastAsia" w:ascii="宋体" w:hAnsi="宋体" w:eastAsia="仿宋_GB2312"/>
          <w:bCs w:val="0"/>
          <w:color w:val="FF0000"/>
          <w:spacing w:val="-4"/>
          <w:sz w:val="28"/>
          <w:szCs w:val="28"/>
          <w:lang w:eastAsia="zh-CN"/>
        </w:rPr>
      </w:pPr>
      <w:r>
        <w:rPr>
          <w:rStyle w:val="17"/>
          <w:rFonts w:hint="eastAsia" w:ascii="仿宋_GB2312" w:hAnsi="宋体" w:eastAsia="仿宋_GB2312"/>
          <w:b w:val="0"/>
          <w:bCs w:val="0"/>
          <w:spacing w:val="-4"/>
          <w:sz w:val="28"/>
          <w:szCs w:val="28"/>
        </w:rPr>
        <w:t>实际在用固定资产</w:t>
      </w:r>
      <w:r>
        <w:rPr>
          <w:rStyle w:val="17"/>
          <w:rFonts w:hint="eastAsia" w:ascii="仿宋_GB2312" w:hAnsi="宋体" w:eastAsia="仿宋_GB2312"/>
          <w:b w:val="0"/>
          <w:bCs w:val="0"/>
          <w:spacing w:val="-4"/>
          <w:sz w:val="28"/>
          <w:szCs w:val="28"/>
          <w:lang w:val="en-US" w:eastAsia="zh-CN"/>
        </w:rPr>
        <w:t>315.52</w:t>
      </w:r>
      <w:r>
        <w:rPr>
          <w:rStyle w:val="17"/>
          <w:rFonts w:hint="eastAsia" w:ascii="仿宋_GB2312" w:hAnsi="宋体" w:eastAsia="仿宋_GB2312"/>
          <w:b w:val="0"/>
          <w:bCs w:val="0"/>
          <w:spacing w:val="-4"/>
          <w:sz w:val="28"/>
          <w:szCs w:val="28"/>
        </w:rPr>
        <w:t>万元，固定资产利用率</w:t>
      </w:r>
      <w:r>
        <w:rPr>
          <w:rStyle w:val="17"/>
          <w:rFonts w:hint="eastAsia" w:ascii="仿宋_GB2312" w:hAnsi="宋体" w:eastAsia="仿宋_GB2312"/>
          <w:b w:val="0"/>
          <w:bCs w:val="0"/>
          <w:spacing w:val="-4"/>
          <w:sz w:val="28"/>
          <w:szCs w:val="28"/>
          <w:lang w:val="en-US" w:eastAsia="zh-CN"/>
        </w:rPr>
        <w:t>100</w:t>
      </w:r>
      <w:r>
        <w:rPr>
          <w:rStyle w:val="17"/>
          <w:rFonts w:hint="eastAsia" w:ascii="仿宋_GB2312" w:hAnsi="宋体" w:eastAsia="仿宋_GB2312"/>
          <w:b w:val="0"/>
          <w:bCs w:val="0"/>
          <w:spacing w:val="-4"/>
          <w:sz w:val="28"/>
          <w:szCs w:val="28"/>
        </w:rPr>
        <w:t>%</w:t>
      </w:r>
      <w:r>
        <w:rPr>
          <w:rStyle w:val="17"/>
          <w:rFonts w:hint="eastAsia" w:ascii="仿宋_GB2312" w:hAnsi="宋体" w:eastAsia="仿宋_GB2312"/>
          <w:b w:val="0"/>
          <w:bCs w:val="0"/>
          <w:spacing w:val="-4"/>
          <w:sz w:val="28"/>
          <w:szCs w:val="28"/>
          <w:lang w:eastAsia="zh-CN"/>
        </w:rPr>
        <w:t>。</w:t>
      </w:r>
    </w:p>
    <w:p>
      <w:pPr>
        <w:pStyle w:val="5"/>
        <w:pageBreakBefore w:val="0"/>
        <w:kinsoku/>
        <w:wordWrap/>
        <w:overflowPunct/>
        <w:topLinePunct w:val="0"/>
        <w:autoSpaceDE/>
        <w:autoSpaceDN/>
        <w:bidi w:val="0"/>
        <w:spacing w:line="240" w:lineRule="atLeast"/>
        <w:ind w:firstLine="643" w:firstLineChars="200"/>
        <w:rPr>
          <w:rStyle w:val="17"/>
          <w:rFonts w:ascii="仿宋" w:hAnsi="仿宋" w:eastAsia="仿宋"/>
          <w:b/>
          <w:bCs/>
        </w:rPr>
      </w:pPr>
      <w:bookmarkStart w:id="22" w:name="_Toc70450312"/>
      <w:r>
        <w:rPr>
          <w:rStyle w:val="17"/>
          <w:rFonts w:hint="eastAsia" w:ascii="仿宋" w:hAnsi="仿宋" w:eastAsia="仿宋"/>
          <w:b/>
          <w:bCs/>
        </w:rPr>
        <w:t>（二）资产管理情况</w:t>
      </w:r>
      <w:bookmarkEnd w:id="22"/>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pageBreakBefore w:val="0"/>
        <w:kinsoku/>
        <w:wordWrap/>
        <w:overflowPunct/>
        <w:topLinePunct w:val="0"/>
        <w:autoSpaceDE/>
        <w:autoSpaceDN/>
        <w:bidi w:val="0"/>
        <w:adjustRightInd/>
        <w:snapToGrid w:val="0"/>
        <w:spacing w:line="360" w:lineRule="auto"/>
        <w:ind w:firstLine="544" w:firstLineChars="200"/>
        <w:textAlignment w:val="auto"/>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4"/>
        <w:pageBreakBefore w:val="0"/>
        <w:kinsoku/>
        <w:wordWrap/>
        <w:overflowPunct/>
        <w:topLinePunct w:val="0"/>
        <w:autoSpaceDE/>
        <w:autoSpaceDN/>
        <w:bidi w:val="0"/>
        <w:spacing w:line="240" w:lineRule="atLeast"/>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5"/>
        <w:pageBreakBefore w:val="0"/>
        <w:kinsoku/>
        <w:wordWrap/>
        <w:overflowPunct/>
        <w:topLinePunct w:val="0"/>
        <w:autoSpaceDE/>
        <w:autoSpaceDN/>
        <w:bidi w:val="0"/>
        <w:spacing w:line="240" w:lineRule="atLeast"/>
        <w:ind w:firstLine="627" w:firstLineChars="200"/>
        <w:rPr>
          <w:rStyle w:val="17"/>
          <w:rFonts w:hint="eastAsia" w:ascii="仿宋_GB2312" w:hAnsi="楷体" w:eastAsia="仿宋_GB2312" w:cstheme="minorBidi"/>
          <w:b/>
          <w:bCs w:val="0"/>
          <w:spacing w:val="-4"/>
          <w:kern w:val="2"/>
          <w:sz w:val="32"/>
          <w:szCs w:val="32"/>
          <w:lang w:val="en-US" w:eastAsia="zh-CN" w:bidi="ar-SA"/>
        </w:rPr>
      </w:pPr>
      <w:bookmarkStart w:id="24" w:name="_Toc70450314"/>
      <w:r>
        <w:rPr>
          <w:rStyle w:val="17"/>
          <w:rFonts w:hint="eastAsia" w:ascii="仿宋_GB2312" w:hAnsi="楷体" w:eastAsia="仿宋_GB2312" w:cstheme="minorBidi"/>
          <w:b/>
          <w:bCs w:val="0"/>
          <w:spacing w:val="-4"/>
          <w:kern w:val="2"/>
          <w:sz w:val="32"/>
          <w:szCs w:val="32"/>
          <w:lang w:val="en-US" w:eastAsia="zh-CN" w:bidi="ar-SA"/>
        </w:rPr>
        <w:t>（一）经济效益评价</w:t>
      </w:r>
      <w:bookmarkEnd w:id="24"/>
    </w:p>
    <w:p>
      <w:pPr>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2021年度我单位年初预算安排611.44万元，年中调整739.89万元，截止12月底支出1351.33万元，执行率100%。</w:t>
      </w:r>
    </w:p>
    <w:p>
      <w:pPr>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1、预算资金执行过程中均按照年初预算分配情况均做到专款专用，未出现资金侵、挪占情况。</w:t>
      </w:r>
    </w:p>
    <w:p>
      <w:pPr>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2、全年按照部门预算进行成本控制，全部控制在厉行节约指标数内。其他支出按财政部门下达的计划实施，全年没有项目超支。</w:t>
      </w:r>
    </w:p>
    <w:p>
      <w:pPr>
        <w:pStyle w:val="5"/>
        <w:pageBreakBefore w:val="0"/>
        <w:kinsoku/>
        <w:wordWrap/>
        <w:overflowPunct/>
        <w:topLinePunct w:val="0"/>
        <w:autoSpaceDE/>
        <w:autoSpaceDN/>
        <w:bidi w:val="0"/>
        <w:spacing w:line="240" w:lineRule="atLeast"/>
        <w:ind w:firstLine="627" w:firstLineChars="200"/>
        <w:rPr>
          <w:rStyle w:val="17"/>
          <w:rFonts w:hint="eastAsia" w:ascii="仿宋_GB2312" w:hAnsi="楷体" w:eastAsia="仿宋_GB2312" w:cstheme="minorBidi"/>
          <w:b/>
          <w:bCs w:val="0"/>
          <w:spacing w:val="-4"/>
          <w:kern w:val="2"/>
          <w:sz w:val="32"/>
          <w:szCs w:val="32"/>
          <w:lang w:val="en-US" w:eastAsia="zh-CN" w:bidi="ar-SA"/>
        </w:rPr>
      </w:pPr>
      <w:bookmarkStart w:id="25" w:name="_Toc70450315"/>
      <w:r>
        <w:rPr>
          <w:rStyle w:val="17"/>
          <w:rFonts w:hint="eastAsia" w:ascii="仿宋_GB2312" w:hAnsi="楷体" w:eastAsia="仿宋_GB2312" w:cstheme="minorBidi"/>
          <w:b/>
          <w:bCs w:val="0"/>
          <w:spacing w:val="-4"/>
          <w:kern w:val="2"/>
          <w:sz w:val="32"/>
          <w:szCs w:val="32"/>
          <w:lang w:val="en-US" w:eastAsia="zh-CN" w:bidi="ar-SA"/>
        </w:rPr>
        <w:t>（二）效率性评价</w:t>
      </w:r>
      <w:bookmarkEnd w:id="25"/>
    </w:p>
    <w:p>
      <w:pPr>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2021年，在县委、政府的大力支持和局党组的正确领导下，我单位迎难而上、务实重干，积极推动各项财政工作取得了新的进展，为促进经济持续健康发展与社会和谐稳定提供了有力的财力支撑和保障。</w:t>
      </w:r>
    </w:p>
    <w:p>
      <w:pPr>
        <w:spacing w:line="360" w:lineRule="auto"/>
        <w:ind w:firstLine="544" w:firstLineChars="200"/>
        <w:rPr>
          <w:rStyle w:val="17"/>
          <w:rFonts w:hint="eastAsia" w:ascii="仿宋_GB2312" w:hAnsi="宋体" w:eastAsia="仿宋_GB2312"/>
          <w:b w:val="0"/>
          <w:bCs w:val="0"/>
          <w:spacing w:val="-4"/>
          <w:sz w:val="28"/>
          <w:szCs w:val="28"/>
          <w:lang w:val="en-US" w:eastAsia="zh-CN"/>
        </w:rPr>
      </w:pPr>
      <w:r>
        <w:rPr>
          <w:rStyle w:val="17"/>
          <w:rFonts w:hint="eastAsia" w:ascii="仿宋_GB2312" w:hAnsi="宋体" w:eastAsia="仿宋_GB2312"/>
          <w:b w:val="0"/>
          <w:bCs w:val="0"/>
          <w:spacing w:val="-4"/>
          <w:sz w:val="28"/>
          <w:szCs w:val="28"/>
          <w:lang w:val="en-US" w:eastAsia="zh-CN"/>
        </w:rPr>
        <w:t>1、圆满完成各项财政业务工作</w:t>
      </w:r>
    </w:p>
    <w:p>
      <w:pPr>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坚持以党建统揽全局，加强以案促改警示教育、干部轮岗，强抓作风建设，转变全局干部作风，推动干部职工发挥螺丝钉精神，强化为人民服务宗旨意识，增强干事创业的动力，积极做好本职工作，做实做深做细，树立匠心精神，推动工作提质增效。开展“访惠聚”慰问工作，到“访惠聚”工作队帮助指导，理清思路，了解思想动态，解除后顾之忧，让干部安下心、沉下身，扎实做好“访惠聚”工作。坚持“过紧日子”的思想，严格落实八项规定要求，从严从紧控制预算，确保“三公经费”比上年有所下降。加强预算资金绩效管理，尽量避免浪费和重复使用资金，确保财政资金发挥效益。为建成生态、人文、和谐、幸福特克斯提供财力保障。</w:t>
      </w:r>
    </w:p>
    <w:p>
      <w:pPr>
        <w:spacing w:line="360" w:lineRule="auto"/>
        <w:ind w:firstLine="544" w:firstLineChars="200"/>
        <w:rPr>
          <w:rStyle w:val="17"/>
          <w:rFonts w:hint="eastAsia" w:ascii="仿宋_GB2312" w:hAnsi="宋体" w:eastAsia="仿宋_GB2312"/>
          <w:b w:val="0"/>
          <w:bCs w:val="0"/>
          <w:spacing w:val="-4"/>
          <w:sz w:val="28"/>
          <w:szCs w:val="28"/>
          <w:lang w:val="en-US" w:eastAsia="zh-CN"/>
        </w:rPr>
      </w:pPr>
      <w:r>
        <w:rPr>
          <w:rStyle w:val="17"/>
          <w:rFonts w:hint="eastAsia" w:ascii="仿宋_GB2312" w:hAnsi="宋体" w:eastAsia="仿宋_GB2312"/>
          <w:b w:val="0"/>
          <w:bCs w:val="0"/>
          <w:spacing w:val="-4"/>
          <w:sz w:val="28"/>
          <w:szCs w:val="28"/>
          <w:lang w:val="en-US" w:eastAsia="zh-CN"/>
        </w:rPr>
        <w:t>2、预算绩效管理任务提前完成</w:t>
      </w:r>
    </w:p>
    <w:p>
      <w:pPr>
        <w:pStyle w:val="21"/>
        <w:pageBreakBefore w:val="0"/>
        <w:numPr>
          <w:ilvl w:val="0"/>
          <w:numId w:val="0"/>
        </w:numPr>
        <w:tabs>
          <w:tab w:val="left" w:pos="312"/>
        </w:tabs>
        <w:kinsoku/>
        <w:wordWrap/>
        <w:overflowPunct/>
        <w:topLinePunct w:val="0"/>
        <w:autoSpaceDE/>
        <w:autoSpaceDN/>
        <w:bidi w:val="0"/>
        <w:spacing w:line="240" w:lineRule="atLeast"/>
        <w:ind w:firstLine="544" w:firstLineChars="200"/>
        <w:jc w:val="left"/>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按照预算绩效管理的相关要求，做好财政预算资金的绩效目标设置、监控、评价工作。实现全方位、全覆盖、全过程预算绩效管理体系。根据时间节点有序推进绩效管理工作，完成了2020年绩效评价、2021年绩效目标设置，不断将预算绩效管理工作向前推进。</w:t>
      </w:r>
    </w:p>
    <w:p>
      <w:pPr>
        <w:spacing w:line="360" w:lineRule="auto"/>
        <w:ind w:firstLine="544" w:firstLineChars="200"/>
        <w:rPr>
          <w:rStyle w:val="17"/>
          <w:rFonts w:hint="eastAsia" w:ascii="仿宋_GB2312" w:hAnsi="宋体" w:eastAsia="仿宋_GB2312"/>
          <w:b w:val="0"/>
          <w:bCs w:val="0"/>
          <w:spacing w:val="-4"/>
          <w:sz w:val="28"/>
          <w:szCs w:val="28"/>
          <w:lang w:val="en-US" w:eastAsia="zh-CN"/>
        </w:rPr>
      </w:pPr>
      <w:r>
        <w:rPr>
          <w:rStyle w:val="17"/>
          <w:rFonts w:hint="eastAsia" w:ascii="仿宋_GB2312" w:hAnsi="宋体" w:eastAsia="仿宋_GB2312"/>
          <w:b w:val="0"/>
          <w:bCs w:val="0"/>
          <w:spacing w:val="-4"/>
          <w:sz w:val="28"/>
          <w:szCs w:val="28"/>
          <w:lang w:val="en-US" w:eastAsia="zh-CN"/>
        </w:rPr>
        <w:t>3、加强资金监管成效显著</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根据自治区及州局工作部署，进一步规范和强化预决算工作，对预算公开质量进行核查，确保2021年预算公开、“三公”经费公开全覆盖，公开质量进一步提高。单位按规定做到日清月结制度，通过财政一体化平台，确保资金安全高效支付，有效提升预算管理能力。形成对财政资金“横向到边、纵向到底”的闭环监管，强化财政资金规范管理。</w:t>
      </w:r>
    </w:p>
    <w:p>
      <w:pPr>
        <w:spacing w:line="360" w:lineRule="auto"/>
        <w:ind w:firstLine="544" w:firstLineChars="200"/>
        <w:rPr>
          <w:rStyle w:val="17"/>
          <w:rFonts w:hint="eastAsia" w:ascii="仿宋_GB2312" w:hAnsi="宋体" w:eastAsia="仿宋_GB2312"/>
          <w:b w:val="0"/>
          <w:bCs w:val="0"/>
          <w:spacing w:val="-4"/>
          <w:sz w:val="28"/>
          <w:szCs w:val="28"/>
          <w:lang w:val="en-US" w:eastAsia="zh-CN"/>
        </w:rPr>
      </w:pPr>
      <w:r>
        <w:rPr>
          <w:rStyle w:val="17"/>
          <w:rFonts w:hint="eastAsia" w:ascii="仿宋_GB2312" w:hAnsi="宋体" w:eastAsia="仿宋_GB2312"/>
          <w:b w:val="0"/>
          <w:bCs w:val="0"/>
          <w:spacing w:val="-4"/>
          <w:sz w:val="28"/>
          <w:szCs w:val="28"/>
          <w:lang w:val="en-US" w:eastAsia="zh-CN"/>
        </w:rPr>
        <w:t>4、人员工资保障及供暖温度全面达标，群众满意度高。</w:t>
      </w:r>
    </w:p>
    <w:p>
      <w:pPr>
        <w:pStyle w:val="5"/>
        <w:pageBreakBefore w:val="0"/>
        <w:kinsoku/>
        <w:wordWrap/>
        <w:overflowPunct/>
        <w:topLinePunct w:val="0"/>
        <w:autoSpaceDE/>
        <w:autoSpaceDN/>
        <w:bidi w:val="0"/>
        <w:spacing w:line="240" w:lineRule="atLeast"/>
        <w:ind w:firstLine="627" w:firstLineChars="200"/>
        <w:rPr>
          <w:rStyle w:val="17"/>
          <w:rFonts w:hint="eastAsia" w:ascii="仿宋_GB2312" w:hAnsi="楷体" w:eastAsia="仿宋_GB2312" w:cstheme="minorBidi"/>
          <w:b/>
          <w:bCs w:val="0"/>
          <w:spacing w:val="-4"/>
          <w:kern w:val="2"/>
          <w:sz w:val="32"/>
          <w:szCs w:val="32"/>
          <w:lang w:val="en-US" w:eastAsia="zh-CN" w:bidi="ar-SA"/>
        </w:rPr>
      </w:pPr>
      <w:bookmarkStart w:id="26" w:name="_Toc70450316"/>
      <w:r>
        <w:rPr>
          <w:rStyle w:val="17"/>
          <w:rFonts w:hint="eastAsia" w:ascii="仿宋_GB2312" w:hAnsi="楷体" w:eastAsia="仿宋_GB2312" w:cstheme="minorBidi"/>
          <w:b/>
          <w:bCs w:val="0"/>
          <w:spacing w:val="-4"/>
          <w:kern w:val="2"/>
          <w:sz w:val="32"/>
          <w:szCs w:val="32"/>
          <w:lang w:val="en-US" w:eastAsia="zh-CN" w:bidi="ar-SA"/>
        </w:rPr>
        <w:t>（三）有效性评价</w:t>
      </w:r>
      <w:bookmarkEnd w:id="26"/>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lang w:val="en-US" w:eastAsia="zh-CN" w:bidi="ar-SA"/>
        </w:rPr>
      </w:pPr>
      <w:r>
        <w:rPr>
          <w:rStyle w:val="17"/>
          <w:rFonts w:hint="eastAsia" w:ascii="仿宋_GB2312" w:hAnsi="楷体" w:eastAsia="仿宋_GB2312" w:cstheme="minorBidi"/>
          <w:b w:val="0"/>
          <w:spacing w:val="-4"/>
          <w:kern w:val="2"/>
          <w:sz w:val="28"/>
          <w:szCs w:val="28"/>
          <w:lang w:val="en-US" w:eastAsia="zh-CN" w:bidi="ar-SA"/>
        </w:rPr>
        <w:t>2021年部门支出的有效性主要体现在我单位各项工作成效上，一是财政业务工作进一步夯实，二是预算管理能力进一步提升，三是财政资金监管工作进一步改善，四是财政资金使用效益进一步提高，五是预算绩效管理进一步推进，六是依法理财水平进一步增强，详细情况如下：</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pPr>
      <w:r>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t>特克斯县财政局部门单位整体绩效目标共设置一级指标</w:t>
      </w:r>
      <w:r>
        <w:rPr>
          <w:rStyle w:val="17"/>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3</w:t>
      </w:r>
      <w:r>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t>个，二级指标</w:t>
      </w:r>
      <w:r>
        <w:rPr>
          <w:rStyle w:val="17"/>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6</w:t>
      </w:r>
      <w:r>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t>个，三级指标</w:t>
      </w:r>
      <w:r>
        <w:rPr>
          <w:rStyle w:val="17"/>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14</w:t>
      </w:r>
      <w:r>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t>个，详细说明如下：</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pPr>
      <w:r>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t>1、数量指标：</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lang w:val="en-US" w:eastAsia="zh-CN" w:bidi="ar-SA"/>
        </w:rPr>
        <w:t>指标1：保障在职人员人数，指标值：60人，实际完成值：60人，指标</w:t>
      </w:r>
      <w:r>
        <w:rPr>
          <w:rStyle w:val="17"/>
          <w:rFonts w:hint="eastAsia" w:ascii="仿宋_GB2312" w:hAnsi="楷体" w:eastAsia="仿宋_GB2312" w:cstheme="minorBidi"/>
          <w:b w:val="0"/>
          <w:spacing w:val="-4"/>
          <w:kern w:val="2"/>
          <w:sz w:val="28"/>
          <w:szCs w:val="28"/>
          <w:highlight w:val="none"/>
          <w:lang w:val="en-US" w:eastAsia="zh-CN" w:bidi="ar-SA"/>
        </w:rPr>
        <w:t>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指标2：保障退休人员人数，指标值：24人 ，实际完成值：24人，指标完成率100%；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指标3：日常办公用车保障数量，指标值：1辆，实际完成值：1辆，指标完成率100%；</w:t>
      </w:r>
    </w:p>
    <w:p>
      <w:pPr>
        <w:pStyle w:val="2"/>
        <w:ind w:left="0" w:leftChars="0" w:firstLine="544" w:firstLineChars="200"/>
        <w:rPr>
          <w:rFonts w:hint="eastAsia"/>
          <w:highlight w:val="none"/>
          <w:lang w:val="en-US" w:eastAsia="zh-CN"/>
        </w:rPr>
      </w:pPr>
      <w:r>
        <w:rPr>
          <w:rStyle w:val="17"/>
          <w:rFonts w:hint="eastAsia" w:ascii="仿宋_GB2312" w:hAnsi="楷体" w:eastAsia="仿宋_GB2312" w:cstheme="minorBidi"/>
          <w:b w:val="0"/>
          <w:spacing w:val="-4"/>
          <w:kern w:val="2"/>
          <w:sz w:val="28"/>
          <w:szCs w:val="28"/>
          <w:highlight w:val="none"/>
          <w:lang w:val="en-US" w:eastAsia="zh-CN" w:bidi="ar-SA"/>
        </w:rPr>
        <w:t>指标4：办公楼供暖、维护面积，指标值：2598平方米，实际完成值：2598平方米，指标完成率100%；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2、质量指标：</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指标1：人员工资及公用经费保障率，指标值：100%，实际完成值：100%，指标完成率100%；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指标2：供暖温度达标率，指标值：98%，实际完成值：98%，指标完成率100%；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3、时效指标：</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指标1：工资发放及时率，指标值：100%，实际完成值：100%，指标完成率100%；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4、成本指标：</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指标1：保障在职人员人均支出标准 ，指标值：9.63万元，实际完成值：9.63万元，指标完成率100%；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指标2：退休人员人均支出标准，指标值：0.53万元，实际完成值：0.53万元，指标完成率100%；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指标3：人均运转经费，指标值：0.3万元，实际完成值：0.3万元，指标完成率100%；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指标4：公用车保障经费，指标值：3.2万元，实际完成值：3.2万元，指标完成率100%；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5、社会效益指标：</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指标1：推动财政各项工作有序、顺利进行,指标值：有效推动，实际完成值：有效推动，指标完成率100%；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6、满意度指标：</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指标1：上级部门满意度，指标值：98%，实际完成值：98% ，指标完成率100%；</w:t>
      </w:r>
    </w:p>
    <w:p>
      <w:pPr>
        <w:keepNext w:val="0"/>
        <w:keepLines w:val="0"/>
        <w:pageBreakBefore w:val="0"/>
        <w:kinsoku/>
        <w:wordWrap/>
        <w:overflowPunct/>
        <w:topLinePunct w:val="0"/>
        <w:autoSpaceDE/>
        <w:autoSpaceDN/>
        <w:bidi w:val="0"/>
        <w:spacing w:line="240" w:lineRule="atLeast"/>
        <w:ind w:firstLine="544" w:firstLineChars="200"/>
        <w:rPr>
          <w:rStyle w:val="17"/>
          <w:rFonts w:hint="eastAsia" w:ascii="仿宋_GB2312" w:hAnsi="楷体" w:eastAsia="仿宋_GB2312" w:cstheme="minorBidi"/>
          <w:b w:val="0"/>
          <w:spacing w:val="-4"/>
          <w:kern w:val="2"/>
          <w:sz w:val="28"/>
          <w:szCs w:val="28"/>
          <w:highlight w:val="none"/>
          <w:lang w:val="en-US" w:eastAsia="zh-CN" w:bidi="ar-SA"/>
        </w:rPr>
      </w:pPr>
      <w:r>
        <w:rPr>
          <w:rStyle w:val="17"/>
          <w:rFonts w:hint="eastAsia" w:ascii="仿宋_GB2312" w:hAnsi="楷体" w:eastAsia="仿宋_GB2312" w:cstheme="minorBidi"/>
          <w:b w:val="0"/>
          <w:spacing w:val="-4"/>
          <w:kern w:val="2"/>
          <w:sz w:val="28"/>
          <w:szCs w:val="28"/>
          <w:highlight w:val="none"/>
          <w:lang w:val="en-US" w:eastAsia="zh-CN" w:bidi="ar-SA"/>
        </w:rPr>
        <w:t>指标2：职工满意度，指标值：98%，实际完成值：98% ，指标完成率100%</w:t>
      </w:r>
      <w:bookmarkStart w:id="27" w:name="_Toc70450317"/>
      <w:r>
        <w:rPr>
          <w:rStyle w:val="17"/>
          <w:rFonts w:hint="eastAsia" w:ascii="仿宋_GB2312" w:hAnsi="楷体" w:eastAsia="仿宋_GB2312" w:cstheme="minorBidi"/>
          <w:b w:val="0"/>
          <w:spacing w:val="-4"/>
          <w:kern w:val="2"/>
          <w:sz w:val="28"/>
          <w:szCs w:val="28"/>
          <w:highlight w:val="none"/>
          <w:lang w:val="en-US" w:eastAsia="zh-CN" w:bidi="ar-SA"/>
        </w:rPr>
        <w:t>。</w:t>
      </w:r>
    </w:p>
    <w:p>
      <w:pPr>
        <w:keepNext w:val="0"/>
        <w:keepLines w:val="0"/>
        <w:pageBreakBefore w:val="0"/>
        <w:numPr>
          <w:ilvl w:val="0"/>
          <w:numId w:val="1"/>
        </w:numPr>
        <w:kinsoku/>
        <w:wordWrap/>
        <w:overflowPunct/>
        <w:topLinePunct w:val="0"/>
        <w:autoSpaceDE/>
        <w:autoSpaceDN/>
        <w:bidi w:val="0"/>
        <w:spacing w:line="240" w:lineRule="atLeast"/>
        <w:ind w:firstLine="723" w:firstLineChars="200"/>
        <w:rPr>
          <w:rFonts w:hint="eastAsia" w:ascii="仿宋" w:hAnsi="仿宋" w:eastAsia="仿宋"/>
          <w:b/>
          <w:bCs/>
          <w:sz w:val="36"/>
          <w:szCs w:val="36"/>
          <w:lang w:bidi="ar"/>
        </w:rPr>
      </w:pPr>
      <w:r>
        <w:rPr>
          <w:rFonts w:hint="eastAsia" w:ascii="仿宋" w:hAnsi="仿宋" w:eastAsia="仿宋"/>
          <w:b/>
          <w:bCs/>
          <w:sz w:val="36"/>
          <w:szCs w:val="36"/>
          <w:lang w:bidi="ar"/>
        </w:rPr>
        <w:t>存在的主要问题</w:t>
      </w:r>
      <w:bookmarkEnd w:id="27"/>
    </w:p>
    <w:p>
      <w:pPr>
        <w:keepNext w:val="0"/>
        <w:keepLines w:val="0"/>
        <w:pageBreakBefore w:val="0"/>
        <w:numPr>
          <w:ilvl w:val="0"/>
          <w:numId w:val="0"/>
        </w:numPr>
        <w:kinsoku/>
        <w:wordWrap/>
        <w:overflowPunct/>
        <w:topLinePunct w:val="0"/>
        <w:autoSpaceDE/>
        <w:autoSpaceDN/>
        <w:bidi w:val="0"/>
        <w:spacing w:line="240" w:lineRule="atLeast"/>
        <w:ind w:firstLine="544" w:firstLineChars="200"/>
        <w:rPr>
          <w:lang w:bidi="ar"/>
        </w:rPr>
      </w:pPr>
      <w:r>
        <w:rPr>
          <w:rStyle w:val="17"/>
          <w:rFonts w:hint="eastAsia" w:ascii="仿宋_GB2312" w:hAnsi="宋体" w:eastAsia="仿宋_GB2312" w:cstheme="minorBidi"/>
          <w:b w:val="0"/>
          <w:bCs w:val="0"/>
          <w:color w:val="000000" w:themeColor="text1"/>
          <w:spacing w:val="-4"/>
          <w:sz w:val="28"/>
          <w:szCs w:val="28"/>
          <w:lang w:eastAsia="zh-CN"/>
          <w14:textFill>
            <w14:solidFill>
              <w14:schemeClr w14:val="tx1"/>
            </w14:solidFill>
          </w14:textFill>
        </w:rPr>
        <w:t>一是</w:t>
      </w:r>
      <w:r>
        <w:rPr>
          <w:rStyle w:val="17"/>
          <w:rFonts w:hint="eastAsia" w:ascii="仿宋_GB2312" w:hAnsi="宋体" w:eastAsia="仿宋_GB2312" w:cstheme="minorBidi"/>
          <w:b w:val="0"/>
          <w:bCs w:val="0"/>
          <w:color w:val="000000" w:themeColor="text1"/>
          <w:spacing w:val="-4"/>
          <w:sz w:val="28"/>
          <w:szCs w:val="28"/>
          <w14:textFill>
            <w14:solidFill>
              <w14:schemeClr w14:val="tx1"/>
            </w14:solidFill>
          </w14:textFill>
        </w:rPr>
        <w:t>预算执行存在偏差</w:t>
      </w:r>
      <w:r>
        <w:rPr>
          <w:rStyle w:val="17"/>
          <w:rFonts w:hint="eastAsia" w:ascii="仿宋_GB2312" w:hAnsi="宋体" w:eastAsia="仿宋_GB2312" w:cstheme="minorBidi"/>
          <w:b w:val="0"/>
          <w:bCs w:val="0"/>
          <w:color w:val="000000" w:themeColor="text1"/>
          <w:spacing w:val="-4"/>
          <w:sz w:val="28"/>
          <w:szCs w:val="28"/>
          <w:lang w:eastAsia="zh-CN"/>
          <w14:textFill>
            <w14:solidFill>
              <w14:schemeClr w14:val="tx1"/>
            </w14:solidFill>
          </w14:textFill>
        </w:rPr>
        <w:t>。</w:t>
      </w:r>
      <w:r>
        <w:rPr>
          <w:rStyle w:val="17"/>
          <w:rFonts w:hint="eastAsia" w:ascii="仿宋_GB2312" w:hAnsi="宋体" w:eastAsia="仿宋_GB2312" w:cstheme="minorBidi"/>
          <w:b w:val="0"/>
          <w:bCs w:val="0"/>
          <w:color w:val="000000" w:themeColor="text1"/>
          <w:spacing w:val="-4"/>
          <w:sz w:val="28"/>
          <w:szCs w:val="28"/>
          <w14:textFill>
            <w14:solidFill>
              <w14:schemeClr w14:val="tx1"/>
            </w14:solidFill>
          </w14:textFill>
        </w:rPr>
        <w:t>由于个别项目指标到第四季度下达，在预算</w:t>
      </w:r>
      <w:r>
        <w:rPr>
          <w:rStyle w:val="17"/>
          <w:rFonts w:hint="eastAsia" w:ascii="仿宋_GB2312" w:hAnsi="宋体" w:eastAsia="仿宋_GB2312"/>
          <w:b w:val="0"/>
          <w:bCs w:val="0"/>
          <w:color w:val="000000" w:themeColor="text1"/>
          <w:spacing w:val="-4"/>
          <w:sz w:val="28"/>
          <w:szCs w:val="28"/>
          <w14:textFill>
            <w14:solidFill>
              <w14:schemeClr w14:val="tx1"/>
            </w14:solidFill>
          </w14:textFill>
        </w:rPr>
        <w:t>执行中造成个别预算子项调剂现象；对个别项目资金使用方面预算不够细致，出现实际支出数超出了预算申报数或出现项目资金结余数额多的情况，导致调剂频繁，缺乏预算编制的科学性。</w:t>
      </w:r>
      <w:r>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t>二是</w:t>
      </w:r>
      <w:r>
        <w:rPr>
          <w:rStyle w:val="17"/>
          <w:rFonts w:hint="eastAsia" w:ascii="仿宋_GB2312" w:hAnsi="宋体" w:eastAsia="仿宋_GB2312"/>
          <w:b w:val="0"/>
          <w:bCs w:val="0"/>
          <w:color w:val="000000" w:themeColor="text1"/>
          <w:spacing w:val="-4"/>
          <w:sz w:val="28"/>
          <w:szCs w:val="28"/>
          <w14:textFill>
            <w14:solidFill>
              <w14:schemeClr w14:val="tx1"/>
            </w14:solidFill>
          </w14:textFill>
        </w:rPr>
        <w:t>预算绩效管理水平仍有欠缺。在202</w:t>
      </w:r>
      <w:r>
        <w:rPr>
          <w:rStyle w:val="17"/>
          <w:rFonts w:hint="eastAsia" w:ascii="仿宋_GB2312" w:hAnsi="宋体" w:eastAsia="仿宋_GB2312"/>
          <w:b w:val="0"/>
          <w:bCs w:val="0"/>
          <w:color w:val="000000" w:themeColor="text1"/>
          <w:spacing w:val="-4"/>
          <w:sz w:val="28"/>
          <w:szCs w:val="28"/>
          <w:lang w:val="en-US" w:eastAsia="zh-CN"/>
          <w14:textFill>
            <w14:solidFill>
              <w14:schemeClr w14:val="tx1"/>
            </w14:solidFill>
          </w14:textFill>
        </w:rPr>
        <w:t>1</w:t>
      </w:r>
      <w:r>
        <w:rPr>
          <w:rStyle w:val="17"/>
          <w:rFonts w:hint="eastAsia" w:ascii="仿宋_GB2312" w:hAnsi="宋体" w:eastAsia="仿宋_GB2312"/>
          <w:b w:val="0"/>
          <w:bCs w:val="0"/>
          <w:color w:val="000000" w:themeColor="text1"/>
          <w:spacing w:val="-4"/>
          <w:sz w:val="28"/>
          <w:szCs w:val="28"/>
          <w14:textFill>
            <w14:solidFill>
              <w14:schemeClr w14:val="tx1"/>
            </w14:solidFill>
          </w14:textFill>
        </w:rPr>
        <w:t>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r>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t>三是</w:t>
      </w:r>
      <w:r>
        <w:rPr>
          <w:rStyle w:val="17"/>
          <w:rFonts w:hint="eastAsia" w:ascii="仿宋_GB2312" w:hAnsi="宋体" w:eastAsia="仿宋_GB2312"/>
          <w:b w:val="0"/>
          <w:bCs w:val="0"/>
          <w:color w:val="000000" w:themeColor="text1"/>
          <w:spacing w:val="-4"/>
          <w:sz w:val="28"/>
          <w:szCs w:val="28"/>
          <w14:textFill>
            <w14:solidFill>
              <w14:schemeClr w14:val="tx1"/>
            </w14:solidFill>
          </w14:textFill>
        </w:rPr>
        <w:t>固定资产管理水平有待提高</w:t>
      </w:r>
      <w:r>
        <w:rPr>
          <w:rStyle w:val="17"/>
          <w:rFonts w:hint="eastAsia" w:ascii="仿宋_GB2312" w:hAnsi="宋体" w:eastAsia="仿宋_GB2312"/>
          <w:b w:val="0"/>
          <w:bCs w:val="0"/>
          <w:color w:val="000000" w:themeColor="text1"/>
          <w:spacing w:val="-4"/>
          <w:sz w:val="28"/>
          <w:szCs w:val="28"/>
          <w:lang w:eastAsia="zh-CN"/>
          <w14:textFill>
            <w14:solidFill>
              <w14:schemeClr w14:val="tx1"/>
            </w14:solidFill>
          </w14:textFill>
        </w:rPr>
        <w:t>。</w:t>
      </w:r>
      <w:r>
        <w:rPr>
          <w:rStyle w:val="17"/>
          <w:rFonts w:hint="eastAsia" w:ascii="仿宋_GB2312" w:hAnsi="宋体" w:eastAsia="仿宋_GB2312"/>
          <w:b w:val="0"/>
          <w:bCs w:val="0"/>
          <w:color w:val="000000" w:themeColor="text1"/>
          <w:spacing w:val="-4"/>
          <w:sz w:val="28"/>
          <w:szCs w:val="28"/>
          <w14:textFill>
            <w14:solidFill>
              <w14:schemeClr w14:val="tx1"/>
            </w14:solidFill>
          </w14:textFill>
        </w:rPr>
        <w:t>固定资产台账未及时与账面资产金额对账且末与实物进行清点及及时清理处置报废资产导致资产台账与账面资产金额存在差异,固定资产管理继续加强中。</w:t>
      </w:r>
    </w:p>
    <w:p>
      <w:pPr>
        <w:pStyle w:val="4"/>
        <w:pageBreakBefore w:val="0"/>
        <w:kinsoku/>
        <w:wordWrap/>
        <w:overflowPunct/>
        <w:topLinePunct w:val="0"/>
        <w:autoSpaceDE/>
        <w:autoSpaceDN/>
        <w:bidi w:val="0"/>
        <w:spacing w:line="240" w:lineRule="atLeast"/>
        <w:ind w:firstLine="723" w:firstLineChars="200"/>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5"/>
        <w:pageBreakBefore w:val="0"/>
        <w:kinsoku/>
        <w:wordWrap/>
        <w:overflowPunct/>
        <w:topLinePunct w:val="0"/>
        <w:autoSpaceDE/>
        <w:autoSpaceDN/>
        <w:bidi w:val="0"/>
        <w:spacing w:line="240" w:lineRule="atLeast"/>
        <w:ind w:firstLine="643" w:firstLineChars="200"/>
        <w:rPr>
          <w:rStyle w:val="17"/>
          <w:rFonts w:ascii="仿宋" w:hAnsi="仿宋" w:eastAsia="仿宋"/>
          <w:b/>
          <w:bCs/>
        </w:rPr>
      </w:pPr>
      <w:bookmarkStart w:id="29" w:name="_Toc70450319"/>
      <w:r>
        <w:rPr>
          <w:rStyle w:val="17"/>
          <w:rFonts w:hint="eastAsia" w:ascii="仿宋" w:hAnsi="仿宋" w:eastAsia="仿宋"/>
          <w:b/>
          <w:bCs/>
        </w:rPr>
        <w:t>（一）改进措施</w:t>
      </w:r>
      <w:bookmarkEnd w:id="29"/>
    </w:p>
    <w:p>
      <w:pPr>
        <w:pStyle w:val="13"/>
        <w:pageBreakBefore w:val="0"/>
        <w:widowControl/>
        <w:kinsoku/>
        <w:wordWrap/>
        <w:overflowPunct/>
        <w:topLinePunct w:val="0"/>
        <w:autoSpaceDE/>
        <w:autoSpaceDN/>
        <w:bidi w:val="0"/>
        <w:spacing w:before="40" w:beforeAutospacing="0" w:after="0" w:afterAutospacing="0" w:line="240" w:lineRule="atLeast"/>
        <w:ind w:firstLine="544" w:firstLineChars="200"/>
        <w:jc w:val="both"/>
        <w:rPr>
          <w:rStyle w:val="17"/>
          <w:rFonts w:hint="eastAsia" w:ascii="仿宋_GB2312" w:hAnsi="宋体" w:eastAsia="仿宋_GB2312" w:cstheme="minorBidi"/>
          <w:b w:val="0"/>
          <w:bCs w:val="0"/>
          <w:color w:val="000000" w:themeColor="text1"/>
          <w:spacing w:val="-4"/>
          <w:kern w:val="2"/>
          <w:sz w:val="28"/>
          <w:szCs w:val="28"/>
          <w:lang w:val="en-US" w:eastAsia="zh-CN" w:bidi="ar-SA"/>
          <w14:textFill>
            <w14:solidFill>
              <w14:schemeClr w14:val="tx1"/>
            </w14:solidFill>
          </w14:textFill>
        </w:rPr>
      </w:pPr>
      <w:r>
        <w:rPr>
          <w:rStyle w:val="17"/>
          <w:rFonts w:hint="eastAsia" w:ascii="仿宋_GB2312" w:hAnsi="宋体" w:eastAsia="仿宋_GB2312" w:cstheme="minorBidi"/>
          <w:b w:val="0"/>
          <w:bCs w:val="0"/>
          <w:color w:val="000000" w:themeColor="text1"/>
          <w:spacing w:val="-4"/>
          <w:kern w:val="2"/>
          <w:sz w:val="28"/>
          <w:szCs w:val="28"/>
          <w:lang w:val="en-US" w:eastAsia="zh-CN" w:bidi="ar-SA"/>
          <w14:textFill>
            <w14:solidFill>
              <w14:schemeClr w14:val="tx1"/>
            </w14:solidFill>
          </w14:textFill>
        </w:rPr>
        <w:t>一是完善管理制度,进-步加强资产管理。严格按照《固定资产管理办法》的规定，加强固定资产管理,及时登记、更新台账，加强资产卡片管理,对各类实物资产进行全面盘点,确保账账、账实相符。二是加强学习。进一步明确如何参照考核体系，科学合理设定绩效目标，充分发挥预算绩效管理工作效用。三是从源头上强化对专项资金预算管理。实行专项资金预算管理，结合单位实际, 按轻重缓急统筹安排编制预算,提高预算编制科学性和合理性,优化资金结构。三是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bookmarkStart w:id="30" w:name="_Toc70450320"/>
    </w:p>
    <w:p>
      <w:pPr>
        <w:pStyle w:val="13"/>
        <w:pageBreakBefore w:val="0"/>
        <w:widowControl/>
        <w:kinsoku/>
        <w:wordWrap/>
        <w:overflowPunct/>
        <w:topLinePunct w:val="0"/>
        <w:autoSpaceDE/>
        <w:autoSpaceDN/>
        <w:bidi w:val="0"/>
        <w:spacing w:before="40" w:beforeAutospacing="0" w:after="0" w:afterAutospacing="0" w:line="240" w:lineRule="atLeast"/>
        <w:ind w:firstLine="643" w:firstLineChars="200"/>
        <w:jc w:val="both"/>
        <w:rPr>
          <w:rStyle w:val="17"/>
          <w:rFonts w:hint="eastAsia" w:ascii="仿宋" w:hAnsi="仿宋" w:eastAsia="仿宋"/>
          <w:b/>
          <w:bCs/>
          <w:sz w:val="32"/>
          <w:szCs w:val="32"/>
        </w:rPr>
      </w:pPr>
      <w:r>
        <w:rPr>
          <w:rStyle w:val="17"/>
          <w:rFonts w:hint="eastAsia" w:ascii="仿宋" w:hAnsi="仿宋" w:eastAsia="仿宋"/>
          <w:b/>
          <w:bCs/>
          <w:sz w:val="32"/>
          <w:szCs w:val="32"/>
          <w:lang w:eastAsia="zh-CN"/>
        </w:rPr>
        <w:t>（二）</w:t>
      </w:r>
      <w:r>
        <w:rPr>
          <w:rStyle w:val="17"/>
          <w:rFonts w:hint="eastAsia" w:ascii="仿宋" w:hAnsi="仿宋" w:eastAsia="仿宋"/>
          <w:b/>
          <w:bCs/>
          <w:sz w:val="32"/>
          <w:szCs w:val="32"/>
        </w:rPr>
        <w:t>建议</w:t>
      </w:r>
      <w:bookmarkEnd w:id="30"/>
    </w:p>
    <w:p>
      <w:pPr>
        <w:pStyle w:val="13"/>
        <w:pageBreakBefore w:val="0"/>
        <w:widowControl/>
        <w:kinsoku/>
        <w:wordWrap/>
        <w:overflowPunct/>
        <w:topLinePunct w:val="0"/>
        <w:autoSpaceDE/>
        <w:autoSpaceDN/>
        <w:bidi w:val="0"/>
        <w:spacing w:before="40" w:beforeAutospacing="0" w:after="0" w:afterAutospacing="0" w:line="240" w:lineRule="atLeast"/>
        <w:ind w:firstLine="544" w:firstLineChars="200"/>
        <w:jc w:val="both"/>
        <w:rPr>
          <w:rStyle w:val="17"/>
          <w:rFonts w:hint="eastAsia" w:ascii="仿宋_GB2312" w:hAnsi="宋体" w:eastAsia="仿宋_GB2312" w:cstheme="minorBidi"/>
          <w:b w:val="0"/>
          <w:bCs w:val="0"/>
          <w:color w:val="000000" w:themeColor="text1"/>
          <w:spacing w:val="-4"/>
          <w:kern w:val="2"/>
          <w:sz w:val="28"/>
          <w:szCs w:val="28"/>
          <w:lang w:val="en-US" w:eastAsia="zh-CN" w:bidi="ar-SA"/>
          <w14:textFill>
            <w14:solidFill>
              <w14:schemeClr w14:val="tx1"/>
            </w14:solidFill>
          </w14:textFill>
        </w:rPr>
      </w:pPr>
      <w:r>
        <w:rPr>
          <w:rStyle w:val="17"/>
          <w:rFonts w:hint="eastAsia" w:ascii="仿宋_GB2312" w:hAnsi="宋体" w:eastAsia="仿宋_GB2312" w:cstheme="minorBidi"/>
          <w:b w:val="0"/>
          <w:bCs w:val="0"/>
          <w:color w:val="000000" w:themeColor="text1"/>
          <w:spacing w:val="-4"/>
          <w:kern w:val="2"/>
          <w:sz w:val="28"/>
          <w:szCs w:val="28"/>
          <w:lang w:val="en-US" w:eastAsia="zh-CN" w:bidi="ar-SA"/>
          <w14:textFill>
            <w14:solidFill>
              <w14:schemeClr w14:val="tx1"/>
            </w14:solidFill>
          </w14:textFill>
        </w:rPr>
        <w:t>一是加强新行政单位会计制度和新预算法学习培训、规范账务处理，加强新《预算法》、《行政单位会计制度》 、《会计法》、《行政单位财务规则》等学习培训,规范部门预算收支核算。一是制定和完善基本支出、项目支出等各项支出标准,严格按项目进度执行预算,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二是财务上，会计核算要更加详细，为本单位各项工作的开展、总结、评估提供有效数据资料支撑,为各项业务工作更好的开展提供帮助。三是按时间进度分解资金使用计划。专项资金的使用，要事前做计划，事中进行控制，事后总结提高。合理安排资金使用,充分体现资金投向的目标和效益。</w:t>
      </w:r>
    </w:p>
    <w:p>
      <w:pPr>
        <w:pStyle w:val="4"/>
        <w:spacing w:line="360" w:lineRule="auto"/>
      </w:pPr>
      <w:bookmarkStart w:id="31" w:name="_Toc70450321"/>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32" w:name="_Hlk70450148"/>
      <w:r>
        <w:rPr>
          <w:rStyle w:val="17"/>
          <w:rFonts w:hint="eastAsia" w:ascii="仿宋" w:hAnsi="仿宋" w:eastAsia="仿宋"/>
          <w:b/>
          <w:bCs/>
          <w:sz w:val="36"/>
          <w:szCs w:val="36"/>
        </w:rPr>
        <w:t>《部门整体支出绩效目标自评表》</w:t>
      </w:r>
      <w:bookmarkEnd w:id="31"/>
      <w:bookmarkEnd w:id="32"/>
      <w:r>
        <w:br w:type="page"/>
      </w:r>
    </w:p>
    <w:tbl>
      <w:tblPr>
        <w:tblStyle w:val="15"/>
        <w:tblW w:w="9023" w:type="dxa"/>
        <w:tblInd w:w="93" w:type="dxa"/>
        <w:tblLayout w:type="fixed"/>
        <w:tblCellMar>
          <w:top w:w="0" w:type="dxa"/>
          <w:left w:w="108" w:type="dxa"/>
          <w:bottom w:w="0" w:type="dxa"/>
          <w:right w:w="108" w:type="dxa"/>
        </w:tblCellMar>
      </w:tblPr>
      <w:tblGrid>
        <w:gridCol w:w="456"/>
        <w:gridCol w:w="456"/>
        <w:gridCol w:w="394"/>
        <w:gridCol w:w="1642"/>
        <w:gridCol w:w="984"/>
        <w:gridCol w:w="1212"/>
        <w:gridCol w:w="698"/>
        <w:gridCol w:w="1080"/>
        <w:gridCol w:w="1128"/>
        <w:gridCol w:w="973"/>
      </w:tblGrid>
      <w:tr>
        <w:tblPrEx>
          <w:tblCellMar>
            <w:top w:w="0" w:type="dxa"/>
            <w:left w:w="108" w:type="dxa"/>
            <w:bottom w:w="0" w:type="dxa"/>
            <w:right w:w="108" w:type="dxa"/>
          </w:tblCellMar>
        </w:tblPrEx>
        <w:trPr>
          <w:trHeight w:val="405" w:hRule="atLeast"/>
        </w:trPr>
        <w:tc>
          <w:tcPr>
            <w:tcW w:w="9023"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highlight w:val="none"/>
              </w:rPr>
            </w:pPr>
          </w:p>
          <w:p>
            <w:pPr>
              <w:widowControl/>
              <w:spacing w:line="640" w:lineRule="exact"/>
              <w:jc w:val="center"/>
              <w:rPr>
                <w:rFonts w:ascii="方正小标宋_GBK" w:hAnsi="宋体" w:eastAsia="方正小标宋_GBK" w:cs="宋体"/>
                <w:kern w:val="0"/>
                <w:sz w:val="44"/>
                <w:szCs w:val="44"/>
                <w:highlight w:val="none"/>
              </w:rPr>
            </w:pPr>
            <w:r>
              <w:rPr>
                <w:rFonts w:hint="eastAsia" w:ascii="方正小标宋_GBK" w:hAnsi="宋体" w:eastAsia="方正小标宋_GBK" w:cs="宋体"/>
                <w:kern w:val="0"/>
                <w:sz w:val="44"/>
                <w:szCs w:val="44"/>
                <w:highlight w:val="none"/>
              </w:rPr>
              <w:t>部门整体支出绩效目标自评表</w:t>
            </w:r>
          </w:p>
        </w:tc>
      </w:tr>
      <w:tr>
        <w:tblPrEx>
          <w:tblCellMar>
            <w:top w:w="0" w:type="dxa"/>
            <w:left w:w="108" w:type="dxa"/>
            <w:bottom w:w="0" w:type="dxa"/>
            <w:right w:w="108" w:type="dxa"/>
          </w:tblCellMar>
        </w:tblPrEx>
        <w:trPr>
          <w:trHeight w:val="285" w:hRule="atLeast"/>
        </w:trPr>
        <w:tc>
          <w:tcPr>
            <w:tcW w:w="9023"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highlight w:val="none"/>
              </w:rPr>
            </w:pPr>
            <w:r>
              <w:rPr>
                <w:rFonts w:hint="eastAsia" w:ascii="宋体" w:hAnsi="宋体" w:eastAsia="宋体" w:cs="宋体"/>
                <w:kern w:val="0"/>
                <w:sz w:val="24"/>
                <w:highlight w:val="none"/>
              </w:rPr>
              <w:t>（</w:t>
            </w:r>
            <w:r>
              <w:rPr>
                <w:rFonts w:ascii="Times New Roman" w:hAnsi="Times New Roman" w:eastAsia="宋体" w:cs="Times New Roman"/>
                <w:kern w:val="0"/>
                <w:sz w:val="24"/>
                <w:highlight w:val="none"/>
              </w:rPr>
              <w:t xml:space="preserve">      </w:t>
            </w:r>
            <w:r>
              <w:rPr>
                <w:rFonts w:hint="eastAsia" w:ascii="Times New Roman" w:hAnsi="Times New Roman" w:eastAsia="宋体" w:cs="Times New Roman"/>
                <w:kern w:val="0"/>
                <w:sz w:val="24"/>
                <w:highlight w:val="none"/>
                <w:lang w:val="en-US" w:eastAsia="zh-CN"/>
              </w:rPr>
              <w:t>2021</w:t>
            </w:r>
            <w:r>
              <w:rPr>
                <w:rFonts w:ascii="Times New Roman" w:hAnsi="Times New Roman" w:eastAsia="宋体" w:cs="Times New Roman"/>
                <w:kern w:val="0"/>
                <w:sz w:val="24"/>
                <w:highlight w:val="none"/>
              </w:rPr>
              <w:t xml:space="preserve">    </w:t>
            </w:r>
            <w:r>
              <w:rPr>
                <w:rFonts w:hint="eastAsia" w:ascii="宋体" w:hAnsi="宋体" w:eastAsia="宋体" w:cs="宋体"/>
                <w:kern w:val="0"/>
                <w:sz w:val="24"/>
                <w:highlight w:val="none"/>
              </w:rPr>
              <w:t>年度）</w:t>
            </w:r>
          </w:p>
        </w:tc>
      </w:tr>
      <w:tr>
        <w:tblPrEx>
          <w:tblCellMar>
            <w:top w:w="0" w:type="dxa"/>
            <w:left w:w="108" w:type="dxa"/>
            <w:bottom w:w="0" w:type="dxa"/>
            <w:right w:w="108" w:type="dxa"/>
          </w:tblCellMar>
        </w:tblPrEx>
        <w:trPr>
          <w:trHeight w:val="360" w:hRule="atLeast"/>
        </w:trPr>
        <w:tc>
          <w:tcPr>
            <w:tcW w:w="45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45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39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642"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98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212"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69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08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highlight w:val="none"/>
              </w:rPr>
            </w:pPr>
          </w:p>
        </w:tc>
        <w:tc>
          <w:tcPr>
            <w:tcW w:w="1128"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c>
          <w:tcPr>
            <w:tcW w:w="973"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highlight w:val="none"/>
              </w:rPr>
            </w:pPr>
          </w:p>
        </w:tc>
      </w:tr>
      <w:tr>
        <w:tblPrEx>
          <w:tblCellMar>
            <w:top w:w="0" w:type="dxa"/>
            <w:left w:w="108" w:type="dxa"/>
            <w:bottom w:w="0" w:type="dxa"/>
            <w:right w:w="108" w:type="dxa"/>
          </w:tblCellMar>
        </w:tblPrEx>
        <w:trPr>
          <w:trHeight w:val="285" w:hRule="atLeast"/>
        </w:trPr>
        <w:tc>
          <w:tcPr>
            <w:tcW w:w="1306"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部门名称</w:t>
            </w:r>
          </w:p>
        </w:tc>
        <w:tc>
          <w:tcPr>
            <w:tcW w:w="771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default" w:ascii="仿宋_GB2312" w:hAnsi="宋体" w:eastAsia="仿宋_GB2312" w:cs="仿宋_GB2312"/>
                <w:i w:val="0"/>
                <w:iCs w:val="0"/>
                <w:color w:val="000000"/>
                <w:kern w:val="0"/>
                <w:sz w:val="32"/>
                <w:szCs w:val="32"/>
                <w:highlight w:val="none"/>
                <w:u w:val="none"/>
                <w:lang w:val="en-US" w:eastAsia="zh-CN" w:bidi="ar"/>
              </w:rPr>
              <w:t>特克斯县财政局</w:t>
            </w:r>
            <w:r>
              <w:rPr>
                <w:rFonts w:hint="eastAsia" w:ascii="宋体" w:hAnsi="宋体" w:eastAsia="宋体" w:cs="宋体"/>
                <w:kern w:val="0"/>
                <w:sz w:val="24"/>
                <w:highlight w:val="none"/>
              </w:rPr>
              <w:t>　</w:t>
            </w:r>
          </w:p>
        </w:tc>
      </w:tr>
      <w:tr>
        <w:tblPrEx>
          <w:tblCellMar>
            <w:top w:w="0" w:type="dxa"/>
            <w:left w:w="108" w:type="dxa"/>
            <w:bottom w:w="0" w:type="dxa"/>
            <w:right w:w="108" w:type="dxa"/>
          </w:tblCellMar>
        </w:tblPrEx>
        <w:trPr>
          <w:trHeight w:val="285"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年度</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主要</w:t>
            </w:r>
            <w:r>
              <w:rPr>
                <w:rFonts w:hint="eastAsia" w:ascii="宋体" w:hAnsi="宋体" w:eastAsia="宋体" w:cs="宋体"/>
                <w:kern w:val="0"/>
                <w:sz w:val="24"/>
                <w:highlight w:val="none"/>
              </w:rPr>
              <w:br w:type="textWrapping"/>
            </w:r>
            <w:r>
              <w:rPr>
                <w:rFonts w:hint="eastAsia" w:ascii="宋体" w:hAnsi="宋体" w:eastAsia="宋体" w:cs="宋体"/>
                <w:kern w:val="0"/>
                <w:sz w:val="24"/>
                <w:highlight w:val="none"/>
              </w:rPr>
              <w:t>任务</w:t>
            </w:r>
          </w:p>
        </w:tc>
        <w:tc>
          <w:tcPr>
            <w:tcW w:w="85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任务名称</w:t>
            </w:r>
          </w:p>
        </w:tc>
        <w:tc>
          <w:tcPr>
            <w:tcW w:w="16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主要内容</w:t>
            </w:r>
          </w:p>
        </w:tc>
        <w:tc>
          <w:tcPr>
            <w:tcW w:w="289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预算金额（万元）</w:t>
            </w:r>
          </w:p>
        </w:tc>
        <w:tc>
          <w:tcPr>
            <w:tcW w:w="318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kern w:val="0"/>
                <w:sz w:val="24"/>
                <w:highlight w:val="none"/>
              </w:rPr>
              <w:t>实际执行（万元）</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85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highlight w:val="none"/>
              </w:rPr>
            </w:pPr>
          </w:p>
        </w:tc>
        <w:tc>
          <w:tcPr>
            <w:tcW w:w="164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6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总额</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财政拨款</w:t>
            </w:r>
          </w:p>
        </w:tc>
        <w:tc>
          <w:tcPr>
            <w:tcW w:w="97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其他资金</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8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highlight w:val="none"/>
                <w:lang w:eastAsia="zh-CN"/>
              </w:rPr>
            </w:pPr>
            <w:r>
              <w:rPr>
                <w:rFonts w:hint="eastAsia" w:ascii="宋体" w:hAnsi="宋体" w:eastAsia="宋体" w:cs="宋体"/>
                <w:kern w:val="0"/>
                <w:sz w:val="24"/>
                <w:highlight w:val="none"/>
                <w:lang w:eastAsia="zh-CN"/>
              </w:rPr>
              <w:t>人员保障</w:t>
            </w:r>
          </w:p>
        </w:tc>
        <w:tc>
          <w:tcPr>
            <w:tcW w:w="1642"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工资福利及对个人和家庭的补助支出</w:t>
            </w:r>
          </w:p>
        </w:tc>
        <w:tc>
          <w:tcPr>
            <w:tcW w:w="98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590.24</w:t>
            </w: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590.24</w:t>
            </w:r>
          </w:p>
        </w:tc>
        <w:tc>
          <w:tcPr>
            <w:tcW w:w="69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0</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590.24</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590.24</w:t>
            </w:r>
          </w:p>
        </w:tc>
        <w:tc>
          <w:tcPr>
            <w:tcW w:w="9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0</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85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4"/>
                <w:highlight w:val="none"/>
                <w:lang w:eastAsia="zh-CN"/>
              </w:rPr>
            </w:pPr>
            <w:r>
              <w:rPr>
                <w:rFonts w:hint="eastAsia" w:ascii="宋体" w:hAnsi="宋体" w:eastAsia="宋体" w:cs="宋体"/>
                <w:kern w:val="0"/>
                <w:sz w:val="24"/>
                <w:highlight w:val="none"/>
                <w:lang w:eastAsia="zh-CN"/>
              </w:rPr>
              <w:t>运转保障</w:t>
            </w:r>
          </w:p>
        </w:tc>
        <w:tc>
          <w:tcPr>
            <w:tcW w:w="1642"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日常公用经费支出　</w:t>
            </w:r>
          </w:p>
        </w:tc>
        <w:tc>
          <w:tcPr>
            <w:tcW w:w="98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21.2</w:t>
            </w: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21.2</w:t>
            </w:r>
          </w:p>
        </w:tc>
        <w:tc>
          <w:tcPr>
            <w:tcW w:w="6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0</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21.2</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21.2</w:t>
            </w:r>
          </w:p>
        </w:tc>
        <w:tc>
          <w:tcPr>
            <w:tcW w:w="97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0</w:t>
            </w:r>
          </w:p>
        </w:tc>
      </w:tr>
      <w:tr>
        <w:tblPrEx>
          <w:tblCellMar>
            <w:top w:w="0" w:type="dxa"/>
            <w:left w:w="108" w:type="dxa"/>
            <w:bottom w:w="0" w:type="dxa"/>
            <w:right w:w="108" w:type="dxa"/>
          </w:tblCellMar>
        </w:tblPrEx>
        <w:trPr>
          <w:trHeight w:val="444"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highlight w:val="none"/>
              </w:rPr>
            </w:pPr>
          </w:p>
        </w:tc>
        <w:tc>
          <w:tcPr>
            <w:tcW w:w="2492" w:type="dxa"/>
            <w:gridSpan w:val="3"/>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金额合计</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611.44</w:t>
            </w:r>
          </w:p>
        </w:tc>
        <w:tc>
          <w:tcPr>
            <w:tcW w:w="1212"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611.44</w:t>
            </w:r>
          </w:p>
        </w:tc>
        <w:tc>
          <w:tcPr>
            <w:tcW w:w="6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lang w:val="en-US" w:eastAsia="zh-CN"/>
              </w:rPr>
              <w:t>0</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lang w:val="en-US" w:eastAsia="zh-CN"/>
              </w:rPr>
              <w:t>611.44</w:t>
            </w:r>
          </w:p>
        </w:tc>
        <w:tc>
          <w:tcPr>
            <w:tcW w:w="112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611.44</w:t>
            </w:r>
          </w:p>
        </w:tc>
        <w:tc>
          <w:tcPr>
            <w:tcW w:w="973"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 w:val="22"/>
                <w:szCs w:val="22"/>
                <w:highlight w:val="none"/>
                <w:lang w:val="en-US" w:eastAsia="zh-CN"/>
              </w:rPr>
            </w:pPr>
            <w:r>
              <w:rPr>
                <w:rFonts w:hint="eastAsia" w:ascii="宋体" w:hAnsi="宋体" w:eastAsia="宋体" w:cs="宋体"/>
                <w:color w:val="000000"/>
                <w:kern w:val="0"/>
                <w:sz w:val="22"/>
                <w:szCs w:val="22"/>
                <w:highlight w:val="none"/>
                <w:lang w:val="en-US" w:eastAsia="zh-CN"/>
              </w:rPr>
              <w:t>0</w:t>
            </w:r>
          </w:p>
        </w:tc>
      </w:tr>
      <w:tr>
        <w:tblPrEx>
          <w:tblCellMar>
            <w:top w:w="0" w:type="dxa"/>
            <w:left w:w="108" w:type="dxa"/>
            <w:bottom w:w="0" w:type="dxa"/>
            <w:right w:w="108" w:type="dxa"/>
          </w:tblCellMar>
        </w:tblPrEx>
        <w:trPr>
          <w:trHeight w:val="285" w:hRule="atLeast"/>
        </w:trPr>
        <w:tc>
          <w:tcPr>
            <w:tcW w:w="4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3476" w:type="dxa"/>
            <w:gridSpan w:val="4"/>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预期目标</w:t>
            </w:r>
          </w:p>
        </w:tc>
        <w:tc>
          <w:tcPr>
            <w:tcW w:w="5091"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实际完成目标</w:t>
            </w:r>
          </w:p>
        </w:tc>
      </w:tr>
      <w:tr>
        <w:tblPrEx>
          <w:tblCellMar>
            <w:top w:w="0" w:type="dxa"/>
            <w:left w:w="108" w:type="dxa"/>
            <w:bottom w:w="0" w:type="dxa"/>
            <w:right w:w="108" w:type="dxa"/>
          </w:tblCellMar>
        </w:tblPrEx>
        <w:trPr>
          <w:trHeight w:val="2070" w:hRule="atLeast"/>
        </w:trPr>
        <w:tc>
          <w:tcPr>
            <w:tcW w:w="4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w:t>
            </w:r>
            <w:r>
              <w:rPr>
                <w:rFonts w:hint="eastAsia" w:ascii="宋体" w:hAnsi="宋体" w:eastAsia="宋体" w:cs="宋体"/>
                <w:kern w:val="0"/>
                <w:sz w:val="24"/>
              </w:rPr>
              <w:br w:type="textWrapping"/>
            </w:r>
            <w:r>
              <w:rPr>
                <w:rFonts w:hint="eastAsia" w:ascii="宋体" w:hAnsi="宋体" w:eastAsia="宋体" w:cs="宋体"/>
                <w:kern w:val="0"/>
                <w:sz w:val="24"/>
              </w:rPr>
              <w:t>总体</w:t>
            </w:r>
            <w:r>
              <w:rPr>
                <w:rFonts w:hint="eastAsia" w:ascii="宋体" w:hAnsi="宋体" w:eastAsia="宋体" w:cs="宋体"/>
                <w:kern w:val="0"/>
                <w:sz w:val="24"/>
              </w:rPr>
              <w:br w:type="textWrapping"/>
            </w:r>
            <w:r>
              <w:rPr>
                <w:rFonts w:hint="eastAsia" w:ascii="宋体" w:hAnsi="宋体" w:eastAsia="宋体" w:cs="宋体"/>
                <w:kern w:val="0"/>
                <w:sz w:val="24"/>
              </w:rPr>
              <w:t>目标</w:t>
            </w:r>
          </w:p>
        </w:tc>
        <w:tc>
          <w:tcPr>
            <w:tcW w:w="3476" w:type="dxa"/>
            <w:gridSpan w:val="4"/>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eastAsia="宋体" w:cs="宋体"/>
                <w:kern w:val="0"/>
                <w:sz w:val="24"/>
                <w:lang w:eastAsia="zh-CN"/>
              </w:rPr>
            </w:pPr>
            <w:r>
              <w:rPr>
                <w:rFonts w:hint="eastAsia" w:ascii="宋体" w:hAnsi="宋体" w:eastAsia="宋体" w:cs="宋体"/>
                <w:kern w:val="0"/>
                <w:sz w:val="24"/>
              </w:rPr>
              <w:t>1.保障人员支出和单位正常高效运转 。                                                                                                                  2.以党建为引领，带动机关工青妇开展各项活动，推进机关干部队伍建设。                                                                                  3.全力做好“访惠聚”驻村和乡村振兴各项工作；积极推进机关各项业务工作。                                                             4.加强资金监管，提高资金使用效益，圆满完成人民政府交办的各类事项</w:t>
            </w:r>
            <w:r>
              <w:rPr>
                <w:rFonts w:hint="eastAsia" w:ascii="宋体" w:hAnsi="宋体" w:eastAsia="宋体" w:cs="宋体"/>
                <w:kern w:val="0"/>
                <w:sz w:val="24"/>
                <w:lang w:eastAsia="zh-CN"/>
              </w:rPr>
              <w:t>。</w:t>
            </w:r>
          </w:p>
        </w:tc>
        <w:tc>
          <w:tcPr>
            <w:tcW w:w="5091"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eastAsia="宋体" w:cs="宋体"/>
                <w:kern w:val="0"/>
                <w:sz w:val="24"/>
                <w:lang w:eastAsia="zh-CN"/>
              </w:rPr>
            </w:pPr>
            <w:r>
              <w:rPr>
                <w:rFonts w:hint="eastAsia" w:ascii="宋体" w:hAnsi="宋体" w:eastAsia="宋体" w:cs="宋体"/>
                <w:kern w:val="0"/>
                <w:sz w:val="24"/>
              </w:rPr>
              <w:t>1.保障人员支出和单位正常高效运转 。                                                                                                                  2.以党建为引领，带动机关工青妇开展各项活动，推进机关干部队伍建设。                                                                                  3.全力做好“访惠聚”驻村和乡村振兴各项工作；积极推进机关各项业务工作。                                                             4.加强资金监管，提高资金使用效益，圆满完成人民政府交办的各类事项</w:t>
            </w:r>
            <w:r>
              <w:rPr>
                <w:rFonts w:hint="eastAsia" w:ascii="宋体" w:hAnsi="宋体" w:eastAsia="宋体" w:cs="宋体"/>
                <w:kern w:val="0"/>
                <w:sz w:val="24"/>
                <w:lang w:eastAsia="zh-CN"/>
              </w:rPr>
              <w:t>。</w:t>
            </w:r>
          </w:p>
        </w:tc>
      </w:tr>
      <w:tr>
        <w:tblPrEx>
          <w:tblCellMar>
            <w:top w:w="0" w:type="dxa"/>
            <w:left w:w="108" w:type="dxa"/>
            <w:bottom w:w="0" w:type="dxa"/>
            <w:right w:w="108" w:type="dxa"/>
          </w:tblCellMar>
        </w:tblPrEx>
        <w:trPr>
          <w:trHeight w:val="1092"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w:t>
            </w:r>
            <w:r>
              <w:rPr>
                <w:rFonts w:hint="eastAsia" w:ascii="宋体" w:hAnsi="宋体" w:eastAsia="宋体" w:cs="宋体"/>
                <w:kern w:val="0"/>
                <w:sz w:val="24"/>
              </w:rPr>
              <w:br w:type="textWrapping"/>
            </w:r>
            <w:r>
              <w:rPr>
                <w:rFonts w:hint="eastAsia" w:ascii="宋体" w:hAnsi="宋体" w:eastAsia="宋体" w:cs="宋体"/>
                <w:kern w:val="0"/>
                <w:sz w:val="24"/>
              </w:rPr>
              <w:t>度</w:t>
            </w:r>
            <w:r>
              <w:rPr>
                <w:rFonts w:hint="eastAsia" w:ascii="宋体" w:hAnsi="宋体" w:eastAsia="宋体" w:cs="宋体"/>
                <w:kern w:val="0"/>
                <w:sz w:val="24"/>
              </w:rPr>
              <w:br w:type="textWrapping"/>
            </w:r>
            <w:r>
              <w:rPr>
                <w:rFonts w:hint="eastAsia" w:ascii="宋体" w:hAnsi="宋体" w:eastAsia="宋体" w:cs="宋体"/>
                <w:kern w:val="0"/>
                <w:sz w:val="24"/>
              </w:rPr>
              <w:t>绩</w:t>
            </w:r>
            <w:r>
              <w:rPr>
                <w:rFonts w:hint="eastAsia" w:ascii="宋体" w:hAnsi="宋体" w:eastAsia="宋体" w:cs="宋体"/>
                <w:kern w:val="0"/>
                <w:sz w:val="24"/>
              </w:rPr>
              <w:br w:type="textWrapping"/>
            </w:r>
            <w:r>
              <w:rPr>
                <w:rFonts w:hint="eastAsia" w:ascii="宋体" w:hAnsi="宋体" w:eastAsia="宋体" w:cs="宋体"/>
                <w:kern w:val="0"/>
                <w:sz w:val="24"/>
              </w:rPr>
              <w:t>效</w:t>
            </w:r>
            <w:r>
              <w:rPr>
                <w:rFonts w:hint="eastAsia" w:ascii="宋体" w:hAnsi="宋体" w:eastAsia="宋体" w:cs="宋体"/>
                <w:kern w:val="0"/>
                <w:sz w:val="24"/>
              </w:rPr>
              <w:br w:type="textWrapping"/>
            </w:r>
            <w:r>
              <w:rPr>
                <w:rFonts w:hint="eastAsia" w:ascii="宋体" w:hAnsi="宋体" w:eastAsia="宋体" w:cs="宋体"/>
                <w:kern w:val="0"/>
                <w:sz w:val="24"/>
              </w:rPr>
              <w:t>指</w:t>
            </w:r>
            <w:r>
              <w:rPr>
                <w:rFonts w:hint="eastAsia" w:ascii="宋体" w:hAnsi="宋体" w:eastAsia="宋体" w:cs="宋体"/>
                <w:kern w:val="0"/>
                <w:sz w:val="24"/>
              </w:rPr>
              <w:br w:type="textWrapping"/>
            </w:r>
            <w:r>
              <w:rPr>
                <w:rFonts w:hint="eastAsia" w:ascii="宋体" w:hAnsi="宋体" w:eastAsia="宋体" w:cs="宋体"/>
                <w:kern w:val="0"/>
                <w:sz w:val="24"/>
              </w:rPr>
              <w:t>标</w:t>
            </w:r>
          </w:p>
        </w:tc>
        <w:tc>
          <w:tcPr>
            <w:tcW w:w="45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20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21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三级指标</w:t>
            </w:r>
          </w:p>
        </w:tc>
        <w:tc>
          <w:tcPr>
            <w:tcW w:w="1778"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rPr>
            </w:pPr>
            <w:r>
              <w:rPr>
                <w:rFonts w:hint="eastAsia" w:ascii="宋体" w:hAnsi="宋体" w:eastAsia="宋体" w:cs="宋体"/>
                <w:color w:val="000000"/>
                <w:kern w:val="0"/>
                <w:sz w:val="24"/>
              </w:rPr>
              <w:t>预期指标值（包含数字及文字描述）</w:t>
            </w:r>
          </w:p>
        </w:tc>
        <w:tc>
          <w:tcPr>
            <w:tcW w:w="210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实际完成指标值（包含数字及文字描述）</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完成指标</w:t>
            </w:r>
          </w:p>
        </w:tc>
        <w:tc>
          <w:tcPr>
            <w:tcW w:w="20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数量指标</w:t>
            </w: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保障在职人员人数</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60人</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tabs>
                <w:tab w:val="left" w:pos="245"/>
                <w:tab w:val="center" w:pos="1290"/>
              </w:tabs>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lang w:eastAsia="zh-CN"/>
              </w:rPr>
              <w:t>60人</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保障退休人员人数</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24人</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ind w:firstLine="220" w:firstLineChars="10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24人</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hint="eastAsia" w:ascii="宋体" w:hAnsi="宋体" w:eastAsia="宋体" w:cs="宋体"/>
                <w:kern w:val="0"/>
                <w:sz w:val="24"/>
              </w:rPr>
            </w:pPr>
            <w:r>
              <w:rPr>
                <w:rFonts w:hint="eastAsia" w:ascii="宋体" w:hAnsi="宋体" w:eastAsia="宋体" w:cs="宋体"/>
                <w:kern w:val="0"/>
                <w:sz w:val="24"/>
              </w:rPr>
              <w:t>日常办公用车保障数量</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1辆</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ind w:firstLine="220" w:firstLineChars="10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1辆</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办公楼供暖、维护面积</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2598平方米</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2598平方米</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质量指标</w:t>
            </w: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人员工资及公用经费保障率</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lang w:val="en-US" w:eastAsia="zh-CN"/>
              </w:rPr>
              <w:t>100</w:t>
            </w:r>
            <w:r>
              <w:rPr>
                <w:rFonts w:hint="eastAsia" w:ascii="宋体" w:hAnsi="宋体" w:eastAsia="宋体" w:cs="宋体"/>
                <w:kern w:val="0"/>
                <w:sz w:val="24"/>
              </w:rPr>
              <w:t>%</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100</w:t>
            </w:r>
            <w:r>
              <w:rPr>
                <w:rFonts w:hint="eastAsia" w:ascii="宋体" w:hAnsi="宋体" w:eastAsia="宋体" w:cs="宋体"/>
                <w:color w:val="000000"/>
                <w:kern w:val="0"/>
                <w:sz w:val="22"/>
                <w:szCs w:val="22"/>
              </w:rPr>
              <w:t>%</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供暖温度达标率</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ind w:firstLine="240" w:firstLineChars="100"/>
              <w:jc w:val="center"/>
              <w:rPr>
                <w:rFonts w:ascii="宋体" w:hAnsi="宋体" w:eastAsia="宋体" w:cs="宋体"/>
                <w:kern w:val="0"/>
                <w:sz w:val="24"/>
              </w:rPr>
            </w:pPr>
            <w:r>
              <w:rPr>
                <w:rFonts w:hint="eastAsia" w:ascii="宋体" w:hAnsi="宋体" w:eastAsia="宋体" w:cs="宋体"/>
                <w:kern w:val="0"/>
                <w:sz w:val="24"/>
              </w:rPr>
              <w:t>98%</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98</w:t>
            </w:r>
            <w:r>
              <w:rPr>
                <w:rFonts w:hint="eastAsia" w:ascii="宋体" w:hAnsi="宋体" w:eastAsia="宋体" w:cs="宋体"/>
                <w:color w:val="000000"/>
                <w:kern w:val="0"/>
                <w:sz w:val="22"/>
                <w:szCs w:val="22"/>
              </w:rPr>
              <w:t>%</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时效指标</w:t>
            </w: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工资发放及时率</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100%</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100%</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成本指标</w:t>
            </w: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保障在职人员人均支出标准</w:t>
            </w:r>
          </w:p>
        </w:tc>
        <w:tc>
          <w:tcPr>
            <w:tcW w:w="17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9.63万元</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9.63万元</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退休人员人均支出标准</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0.53万元</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0.53万元</w:t>
            </w:r>
          </w:p>
        </w:tc>
      </w:tr>
      <w:tr>
        <w:tblPrEx>
          <w:tblCellMar>
            <w:top w:w="0" w:type="dxa"/>
            <w:left w:w="108" w:type="dxa"/>
            <w:bottom w:w="0" w:type="dxa"/>
            <w:right w:w="108" w:type="dxa"/>
          </w:tblCellMar>
        </w:tblPrEx>
        <w:trPr>
          <w:trHeight w:val="468"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hint="eastAsia" w:ascii="宋体" w:hAnsi="宋体" w:eastAsia="宋体" w:cs="宋体"/>
                <w:kern w:val="0"/>
                <w:sz w:val="24"/>
              </w:rPr>
            </w:pPr>
            <w:r>
              <w:rPr>
                <w:rFonts w:hint="eastAsia" w:ascii="宋体" w:hAnsi="宋体" w:eastAsia="宋体" w:cs="宋体"/>
                <w:kern w:val="0"/>
                <w:sz w:val="24"/>
              </w:rPr>
              <w:t>人均运转经费</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ind w:firstLine="240" w:firstLineChars="100"/>
              <w:jc w:val="center"/>
              <w:rPr>
                <w:rFonts w:hint="eastAsia" w:ascii="宋体" w:hAnsi="宋体" w:eastAsia="宋体" w:cs="宋体"/>
                <w:kern w:val="0"/>
                <w:sz w:val="24"/>
              </w:rPr>
            </w:pPr>
            <w:r>
              <w:rPr>
                <w:rFonts w:hint="eastAsia" w:ascii="宋体" w:hAnsi="宋体" w:eastAsia="宋体" w:cs="宋体"/>
                <w:kern w:val="0"/>
                <w:sz w:val="24"/>
              </w:rPr>
              <w:t>0.3万元</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0.3万元</w:t>
            </w:r>
          </w:p>
        </w:tc>
      </w:tr>
      <w:tr>
        <w:tblPrEx>
          <w:tblCellMar>
            <w:top w:w="0" w:type="dxa"/>
            <w:left w:w="108" w:type="dxa"/>
            <w:bottom w:w="0" w:type="dxa"/>
            <w:right w:w="108" w:type="dxa"/>
          </w:tblCellMar>
        </w:tblPrEx>
        <w:trPr>
          <w:trHeight w:val="456"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公用车保障经费</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3.2万元</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3.2万元</w:t>
            </w:r>
          </w:p>
        </w:tc>
      </w:tr>
      <w:tr>
        <w:tblPrEx>
          <w:tblCellMar>
            <w:top w:w="0" w:type="dxa"/>
            <w:left w:w="108" w:type="dxa"/>
            <w:bottom w:w="0" w:type="dxa"/>
            <w:right w:w="108" w:type="dxa"/>
          </w:tblCellMar>
        </w:tblPrEx>
        <w:trPr>
          <w:trHeight w:val="876"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效益指标</w:t>
            </w:r>
          </w:p>
        </w:tc>
        <w:tc>
          <w:tcPr>
            <w:tcW w:w="2036"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rPr>
              <w:t>推动财政各项工作有序、顺利进行</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有效推动</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ind w:firstLine="480" w:firstLineChars="200"/>
              <w:jc w:val="center"/>
              <w:rPr>
                <w:rFonts w:ascii="宋体" w:hAnsi="宋体" w:eastAsia="宋体" w:cs="宋体"/>
                <w:color w:val="000000"/>
                <w:kern w:val="0"/>
                <w:sz w:val="22"/>
                <w:szCs w:val="22"/>
              </w:rPr>
            </w:pPr>
            <w:r>
              <w:rPr>
                <w:rFonts w:hint="eastAsia" w:ascii="宋体" w:hAnsi="宋体" w:eastAsia="宋体" w:cs="宋体"/>
                <w:kern w:val="0"/>
                <w:sz w:val="24"/>
              </w:rPr>
              <w:t>有效推动</w:t>
            </w:r>
          </w:p>
        </w:tc>
      </w:tr>
      <w:tr>
        <w:tblPrEx>
          <w:tblCellMar>
            <w:top w:w="0" w:type="dxa"/>
            <w:left w:w="108" w:type="dxa"/>
            <w:bottom w:w="0" w:type="dxa"/>
            <w:right w:w="108" w:type="dxa"/>
          </w:tblCellMar>
        </w:tblPrEx>
        <w:trPr>
          <w:trHeight w:val="78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20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上级部门满意度</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≧98%</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98%</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4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2036"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2196" w:type="dxa"/>
            <w:gridSpan w:val="2"/>
            <w:tcBorders>
              <w:top w:val="single" w:color="auto" w:sz="4" w:space="0"/>
              <w:left w:val="nil"/>
              <w:bottom w:val="single" w:color="auto" w:sz="4" w:space="0"/>
              <w:right w:val="nil"/>
            </w:tcBorders>
            <w:shd w:val="clear" w:color="auto" w:fill="auto"/>
            <w:vAlign w:val="center"/>
          </w:tcPr>
          <w:p>
            <w:pPr>
              <w:widowControl/>
              <w:jc w:val="both"/>
              <w:rPr>
                <w:rFonts w:ascii="宋体" w:hAnsi="宋体" w:eastAsia="宋体" w:cs="宋体"/>
                <w:kern w:val="0"/>
                <w:sz w:val="24"/>
              </w:rPr>
            </w:pPr>
            <w:r>
              <w:rPr>
                <w:rFonts w:hint="eastAsia" w:ascii="宋体" w:hAnsi="宋体" w:eastAsia="宋体" w:cs="宋体"/>
                <w:kern w:val="0"/>
                <w:sz w:val="24"/>
              </w:rPr>
              <w:t>职工满意度</w:t>
            </w:r>
          </w:p>
        </w:tc>
        <w:tc>
          <w:tcPr>
            <w:tcW w:w="177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≧98%</w:t>
            </w:r>
          </w:p>
        </w:tc>
        <w:tc>
          <w:tcPr>
            <w:tcW w:w="2101"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98%</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6F3991"/>
    <w:multiLevelType w:val="singleLevel"/>
    <w:tmpl w:val="8E6F3991"/>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E80C4E"/>
    <w:rsid w:val="02B13A9F"/>
    <w:rsid w:val="04EB7D01"/>
    <w:rsid w:val="0B4A12F4"/>
    <w:rsid w:val="0E9A5E97"/>
    <w:rsid w:val="121C2850"/>
    <w:rsid w:val="12CE1E35"/>
    <w:rsid w:val="173B4270"/>
    <w:rsid w:val="1BDC6850"/>
    <w:rsid w:val="1C1B5646"/>
    <w:rsid w:val="1EB60E4D"/>
    <w:rsid w:val="2B151EAA"/>
    <w:rsid w:val="2D624C23"/>
    <w:rsid w:val="2E685FB2"/>
    <w:rsid w:val="2F9F2D7E"/>
    <w:rsid w:val="303D299C"/>
    <w:rsid w:val="30DB5E3B"/>
    <w:rsid w:val="34597B3A"/>
    <w:rsid w:val="34A62B3E"/>
    <w:rsid w:val="385B13B7"/>
    <w:rsid w:val="38DD7AB3"/>
    <w:rsid w:val="3B3D6DF4"/>
    <w:rsid w:val="3CE55188"/>
    <w:rsid w:val="3FB675A0"/>
    <w:rsid w:val="40471775"/>
    <w:rsid w:val="40667E5B"/>
    <w:rsid w:val="40D43B80"/>
    <w:rsid w:val="46B9006F"/>
    <w:rsid w:val="4A211602"/>
    <w:rsid w:val="4D430D27"/>
    <w:rsid w:val="4FA14066"/>
    <w:rsid w:val="4FC814B0"/>
    <w:rsid w:val="52242630"/>
    <w:rsid w:val="52B61649"/>
    <w:rsid w:val="5319282B"/>
    <w:rsid w:val="53AD134F"/>
    <w:rsid w:val="559C18D4"/>
    <w:rsid w:val="564349A2"/>
    <w:rsid w:val="572517D4"/>
    <w:rsid w:val="58D52FBB"/>
    <w:rsid w:val="5BEF38F5"/>
    <w:rsid w:val="5DD0112E"/>
    <w:rsid w:val="611D68B7"/>
    <w:rsid w:val="61D90AAC"/>
    <w:rsid w:val="652E506F"/>
    <w:rsid w:val="65B456D5"/>
    <w:rsid w:val="662E2405"/>
    <w:rsid w:val="694D62F4"/>
    <w:rsid w:val="69677B1A"/>
    <w:rsid w:val="6AF42DF1"/>
    <w:rsid w:val="6B2F1738"/>
    <w:rsid w:val="6C011B5F"/>
    <w:rsid w:val="6C8A2758"/>
    <w:rsid w:val="6D803222"/>
    <w:rsid w:val="74563597"/>
    <w:rsid w:val="759B5792"/>
    <w:rsid w:val="7A7942E9"/>
    <w:rsid w:val="7A7A59FF"/>
    <w:rsid w:val="7F833DB1"/>
    <w:rsid w:val="7F8671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7">
    <w:name w:val="toc 3"/>
    <w:basedOn w:val="1"/>
    <w:next w:val="1"/>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字符"/>
    <w:basedOn w:val="16"/>
    <w:link w:val="14"/>
    <w:qFormat/>
    <w:uiPriority w:val="10"/>
    <w:rPr>
      <w:rFonts w:asciiTheme="majorHAnsi" w:hAnsiTheme="majorHAnsi" w:eastAsiaTheme="majorEastAsia" w:cstheme="majorBidi"/>
      <w:b/>
      <w:bCs/>
      <w:sz w:val="32"/>
      <w:szCs w:val="32"/>
    </w:rPr>
  </w:style>
  <w:style w:type="character" w:customStyle="1" w:styleId="23">
    <w:name w:val="标题 2 字符"/>
    <w:basedOn w:val="16"/>
    <w:link w:val="4"/>
    <w:qFormat/>
    <w:uiPriority w:val="9"/>
    <w:rPr>
      <w:rFonts w:asciiTheme="majorHAnsi" w:hAnsiTheme="majorHAnsi" w:eastAsiaTheme="majorEastAsia" w:cstheme="majorBidi"/>
      <w:b/>
      <w:bCs/>
      <w:sz w:val="32"/>
      <w:szCs w:val="32"/>
    </w:rPr>
  </w:style>
  <w:style w:type="character" w:customStyle="1" w:styleId="24">
    <w:name w:val="副标题 字符"/>
    <w:basedOn w:val="16"/>
    <w:link w:val="11"/>
    <w:qFormat/>
    <w:uiPriority w:val="11"/>
    <w:rPr>
      <w:b/>
      <w:bCs/>
      <w:kern w:val="28"/>
      <w:sz w:val="32"/>
      <w:szCs w:val="32"/>
    </w:rPr>
  </w:style>
  <w:style w:type="character" w:customStyle="1" w:styleId="25">
    <w:name w:val="标题 3 字符"/>
    <w:basedOn w:val="16"/>
    <w:link w:val="5"/>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字符"/>
    <w:basedOn w:val="16"/>
    <w:link w:val="3"/>
    <w:qFormat/>
    <w:uiPriority w:val="9"/>
    <w:rPr>
      <w:b/>
      <w:bCs/>
      <w:kern w:val="44"/>
      <w:sz w:val="44"/>
      <w:szCs w:val="44"/>
    </w:rPr>
  </w:style>
  <w:style w:type="paragraph" w:customStyle="1" w:styleId="28">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9">
    <w:name w:val="标题 4 字符"/>
    <w:basedOn w:val="16"/>
    <w:link w:val="6"/>
    <w:qFormat/>
    <w:uiPriority w:val="9"/>
    <w:rPr>
      <w:rFonts w:asciiTheme="majorHAnsi" w:hAnsiTheme="majorHAnsi" w:eastAsiaTheme="majorEastAsia" w:cstheme="majorBidi"/>
      <w:b/>
      <w:bCs/>
      <w:sz w:val="28"/>
      <w:szCs w:val="28"/>
    </w:rPr>
  </w:style>
  <w:style w:type="paragraph" w:customStyle="1" w:styleId="30">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31">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 w:type="paragraph" w:customStyle="1" w:styleId="32">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7616</Words>
  <Characters>8159</Characters>
  <Lines>72</Lines>
  <Paragraphs>20</Paragraphs>
  <TotalTime>19</TotalTime>
  <ScaleCrop>false</ScaleCrop>
  <LinksUpToDate>false</LinksUpToDate>
  <CharactersWithSpaces>8747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A.X</cp:lastModifiedBy>
  <dcterms:modified xsi:type="dcterms:W3CDTF">2022-05-24T05:11:48Z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1E00B23A39ED470D8EAF0AB35FEA7E67</vt:lpwstr>
  </property>
</Properties>
</file>